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Ind w:w="108" w:type="dxa"/>
        <w:tblLayout w:type="fixed"/>
        <w:tblLook w:val="04A0" w:firstRow="1" w:lastRow="0" w:firstColumn="1" w:lastColumn="0" w:noHBand="0" w:noVBand="1"/>
      </w:tblPr>
      <w:tblGrid>
        <w:gridCol w:w="1418"/>
        <w:gridCol w:w="1093"/>
        <w:gridCol w:w="2951"/>
        <w:gridCol w:w="1768"/>
        <w:gridCol w:w="1275"/>
      </w:tblGrid>
      <w:tr w:rsidR="00980522" w:rsidRPr="00A90BD0" w:rsidTr="00496B4D">
        <w:trPr>
          <w:trHeight w:val="1408"/>
        </w:trPr>
        <w:tc>
          <w:tcPr>
            <w:tcW w:w="1418" w:type="dxa"/>
            <w:tcBorders>
              <w:top w:val="single" w:sz="4" w:space="0" w:color="auto"/>
              <w:bottom w:val="single" w:sz="4" w:space="0" w:color="auto"/>
            </w:tcBorders>
            <w:vAlign w:val="center"/>
          </w:tcPr>
          <w:p w:rsidR="00980522" w:rsidRPr="00A90BD0" w:rsidRDefault="00980522" w:rsidP="00496B4D">
            <w:pPr>
              <w:pStyle w:val="BasicParagraph"/>
              <w:spacing w:line="240" w:lineRule="auto"/>
              <w:jc w:val="center"/>
              <w:rPr>
                <w:rFonts w:cs="Times New Roman"/>
                <w:b/>
                <w:bCs/>
              </w:rPr>
            </w:pPr>
            <w:r>
              <w:rPr>
                <w:noProof/>
                <w:lang w:val="id-ID" w:eastAsia="id-ID"/>
              </w:rPr>
              <w:drawing>
                <wp:inline distT="0" distB="0" distL="0" distR="0" wp14:anchorId="02C13051" wp14:editId="48673B2D">
                  <wp:extent cx="771525" cy="804673"/>
                  <wp:effectExtent l="0" t="0" r="0" b="0"/>
                  <wp:docPr id="3" name="Picture 3" descr="E:\PRAJAB 2017\RA\logo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AJAB 2017\RA\logo 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73" cy="809625"/>
                          </a:xfrm>
                          <a:prstGeom prst="rect">
                            <a:avLst/>
                          </a:prstGeom>
                          <a:noFill/>
                          <a:ln>
                            <a:noFill/>
                          </a:ln>
                        </pic:spPr>
                      </pic:pic>
                    </a:graphicData>
                  </a:graphic>
                </wp:inline>
              </w:drawing>
            </w:r>
          </w:p>
        </w:tc>
        <w:tc>
          <w:tcPr>
            <w:tcW w:w="5812" w:type="dxa"/>
            <w:gridSpan w:val="3"/>
            <w:tcBorders>
              <w:top w:val="single" w:sz="4" w:space="0" w:color="auto"/>
              <w:bottom w:val="single" w:sz="4" w:space="0" w:color="auto"/>
            </w:tcBorders>
          </w:tcPr>
          <w:p w:rsidR="00980522" w:rsidRDefault="006239D2" w:rsidP="00496B4D">
            <w:pPr>
              <w:pStyle w:val="BasicParagraph"/>
              <w:spacing w:line="240" w:lineRule="auto"/>
              <w:contextualSpacing/>
              <w:jc w:val="center"/>
              <w:rPr>
                <w:sz w:val="18"/>
              </w:rPr>
            </w:pPr>
            <w:r>
              <w:rPr>
                <w:sz w:val="18"/>
              </w:rPr>
              <w:t>GPJI 3</w:t>
            </w:r>
            <w:r w:rsidR="00980522">
              <w:rPr>
                <w:sz w:val="18"/>
              </w:rPr>
              <w:t xml:space="preserve"> (</w:t>
            </w:r>
            <w:r>
              <w:rPr>
                <w:sz w:val="18"/>
                <w:lang w:val="en-US"/>
              </w:rPr>
              <w:t>1</w:t>
            </w:r>
            <w:r>
              <w:rPr>
                <w:sz w:val="18"/>
              </w:rPr>
              <w:t>) (2019</w:t>
            </w:r>
            <w:r w:rsidR="00980522">
              <w:rPr>
                <w:sz w:val="18"/>
              </w:rPr>
              <w:t>)</w:t>
            </w:r>
          </w:p>
          <w:p w:rsidR="00980522" w:rsidRDefault="00980522" w:rsidP="00496B4D">
            <w:pPr>
              <w:autoSpaceDE w:val="0"/>
              <w:autoSpaceDN w:val="0"/>
              <w:adjustRightInd w:val="0"/>
              <w:spacing w:before="0" w:beforeAutospacing="0" w:after="0" w:afterAutospacing="0"/>
              <w:ind w:left="0" w:right="0"/>
              <w:contextualSpacing/>
              <w:jc w:val="both"/>
              <w:textAlignment w:val="center"/>
              <w:rPr>
                <w:rFonts w:ascii="Calisto MT" w:hAnsi="Calisto MT" w:cs="Calisto MT"/>
                <w:color w:val="000000"/>
                <w:sz w:val="18"/>
                <w:szCs w:val="20"/>
                <w:lang w:val="en-GB"/>
              </w:rPr>
            </w:pP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Gelanggang Pendidikan Jasmani Indonesia</w:t>
            </w: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p>
          <w:p w:rsidR="00980522" w:rsidRPr="00A60146"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r w:rsidRPr="00E67CA4">
              <w:rPr>
                <w:rFonts w:ascii="Calisto MT" w:hAnsi="Calisto MT" w:cs="Calisto MT"/>
                <w:color w:val="000000"/>
                <w:sz w:val="18"/>
                <w:szCs w:val="18"/>
                <w:lang w:val="en-GB"/>
              </w:rPr>
              <w:t>http://journal2.um.ac.id/index.php/jpj</w:t>
            </w:r>
          </w:p>
        </w:tc>
        <w:tc>
          <w:tcPr>
            <w:tcW w:w="1275" w:type="dxa"/>
            <w:tcBorders>
              <w:top w:val="single" w:sz="4" w:space="0" w:color="auto"/>
              <w:bottom w:val="single" w:sz="4" w:space="0" w:color="auto"/>
            </w:tcBorders>
          </w:tcPr>
          <w:p w:rsidR="00980522" w:rsidRPr="00A90BD0" w:rsidRDefault="00980522" w:rsidP="00496B4D">
            <w:pPr>
              <w:pStyle w:val="BasicParagraph"/>
              <w:spacing w:line="240" w:lineRule="auto"/>
              <w:jc w:val="center"/>
              <w:rPr>
                <w:rFonts w:cs="Times New Roman"/>
                <w:sz w:val="18"/>
                <w:szCs w:val="18"/>
              </w:rPr>
            </w:pPr>
            <w:r>
              <w:rPr>
                <w:noProof/>
                <w:lang w:val="id-ID" w:eastAsia="id-ID"/>
              </w:rPr>
              <w:drawing>
                <wp:inline distT="0" distB="0" distL="0" distR="0" wp14:anchorId="3B5601D5" wp14:editId="6D911E52">
                  <wp:extent cx="655806" cy="923925"/>
                  <wp:effectExtent l="0" t="0" r="0" b="0"/>
                  <wp:docPr id="1" name="Picture 1" descr="E:\JURNAL PENJAS DESEMBER\WhatsApp Image 2018-01-08 at 13.39.41 (2)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WhatsApp Image 2018-01-08 at 13.39.41 (2) - Copy.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806" cy="923925"/>
                          </a:xfrm>
                          <a:prstGeom prst="rect">
                            <a:avLst/>
                          </a:prstGeom>
                          <a:noFill/>
                          <a:ln>
                            <a:noFill/>
                          </a:ln>
                        </pic:spPr>
                      </pic:pic>
                    </a:graphicData>
                  </a:graphic>
                </wp:inline>
              </w:drawing>
            </w:r>
          </w:p>
        </w:tc>
      </w:tr>
      <w:tr w:rsidR="00980522" w:rsidRPr="00A90BD0" w:rsidTr="00496B4D">
        <w:tc>
          <w:tcPr>
            <w:tcW w:w="8505" w:type="dxa"/>
            <w:gridSpan w:val="5"/>
            <w:tcBorders>
              <w:top w:val="single" w:sz="4" w:space="0" w:color="auto"/>
              <w:bottom w:val="single" w:sz="4" w:space="0" w:color="auto"/>
            </w:tcBorders>
          </w:tcPr>
          <w:p w:rsidR="00980522" w:rsidRPr="00A90BD0" w:rsidRDefault="00980522" w:rsidP="00496B4D">
            <w:pPr>
              <w:pStyle w:val="Judul"/>
              <w:suppressAutoHyphens/>
              <w:spacing w:line="240" w:lineRule="auto"/>
              <w:rPr>
                <w:rFonts w:ascii="Calisto MT" w:hAnsi="Calisto MT" w:cs="Times New Roman"/>
              </w:rPr>
            </w:pPr>
          </w:p>
          <w:p w:rsidR="00980522" w:rsidRPr="008B4A77" w:rsidRDefault="006239D2" w:rsidP="00496B4D">
            <w:pPr>
              <w:autoSpaceDE w:val="0"/>
              <w:autoSpaceDN w:val="0"/>
              <w:adjustRightInd w:val="0"/>
              <w:spacing w:before="0" w:beforeAutospacing="0" w:after="0" w:afterAutospacing="0"/>
              <w:ind w:left="0" w:right="0"/>
              <w:textAlignment w:val="center"/>
              <w:rPr>
                <w:rFonts w:ascii="Calisto MT" w:hAnsi="Calisto MT" w:cs="Calisto MT"/>
                <w:b/>
                <w:bCs/>
                <w:iCs/>
                <w:caps/>
                <w:color w:val="00B0F0"/>
                <w:sz w:val="24"/>
                <w:szCs w:val="24"/>
              </w:rPr>
            </w:pPr>
            <w:r w:rsidRPr="006239D2">
              <w:rPr>
                <w:rFonts w:ascii="Calisto MT" w:hAnsi="Calisto MT" w:cs="Arial"/>
                <w:b/>
                <w:sz w:val="24"/>
              </w:rPr>
              <w:t>PENGEMBANGAN PERMAINAN GERAK DASAR LOKOMOTOR DAN MANIPULATIF PADA SISWA KELAS III SDN BARENG 3 KOTA MALANG</w:t>
            </w:r>
          </w:p>
          <w:p w:rsidR="00980522"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572B55"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6239D2" w:rsidRDefault="006239D2"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roofErr w:type="spellStart"/>
            <w:r w:rsidRPr="006239D2">
              <w:rPr>
                <w:rFonts w:ascii="Calisto MT" w:hAnsi="Calisto MT" w:cs="Arial"/>
                <w:b/>
              </w:rPr>
              <w:t>Aimanun</w:t>
            </w:r>
            <w:proofErr w:type="spellEnd"/>
            <w:r w:rsidRPr="006239D2">
              <w:rPr>
                <w:rFonts w:ascii="Calisto MT" w:hAnsi="Calisto MT" w:cs="Arial"/>
                <w:b/>
              </w:rPr>
              <w:t xml:space="preserve"> Nisa’</w:t>
            </w:r>
            <w:r w:rsidR="00980522" w:rsidRPr="006239D2">
              <w:rPr>
                <w:rFonts w:ascii="Calisto MT" w:hAnsi="Calisto MT" w:cs="Calisto MT"/>
                <w:b/>
                <w:bCs/>
                <w:color w:val="000000"/>
                <w:vertAlign w:val="superscript"/>
                <w:lang w:val="en-GB"/>
              </w:rPr>
              <w:t xml:space="preserve"> 1</w:t>
            </w:r>
            <w:r w:rsidR="00980522" w:rsidRPr="006239D2">
              <w:rPr>
                <w:rFonts w:ascii="Calisto MT" w:hAnsi="Calisto MT" w:cs="Wingdings"/>
                <w:color w:val="000000"/>
                <w:vertAlign w:val="superscript"/>
                <w:lang w:val="en-GB"/>
              </w:rPr>
              <w:t></w:t>
            </w:r>
            <w:r w:rsidR="00980522" w:rsidRPr="006239D2">
              <w:rPr>
                <w:rFonts w:ascii="Calisto MT" w:hAnsi="Calisto MT" w:cs="Calisto MT"/>
                <w:b/>
                <w:bCs/>
                <w:color w:val="000000"/>
              </w:rPr>
              <w:t xml:space="preserve">,  </w:t>
            </w:r>
            <w:proofErr w:type="spellStart"/>
            <w:r w:rsidRPr="006239D2">
              <w:rPr>
                <w:rFonts w:ascii="Calisto MT" w:hAnsi="Calisto MT" w:cs="Arial"/>
                <w:b/>
              </w:rPr>
              <w:t>Febrita</w:t>
            </w:r>
            <w:proofErr w:type="spellEnd"/>
            <w:r w:rsidRPr="006239D2">
              <w:rPr>
                <w:rFonts w:ascii="Calisto MT" w:hAnsi="Calisto MT" w:cs="Arial"/>
                <w:b/>
              </w:rPr>
              <w:t xml:space="preserve"> Paulina </w:t>
            </w:r>
            <w:proofErr w:type="spellStart"/>
            <w:r w:rsidRPr="006239D2">
              <w:rPr>
                <w:rFonts w:ascii="Calisto MT" w:hAnsi="Calisto MT" w:cs="Arial"/>
                <w:b/>
              </w:rPr>
              <w:t>Heynoek</w:t>
            </w:r>
            <w:proofErr w:type="spellEnd"/>
            <w:r w:rsidR="00980522" w:rsidRPr="006239D2">
              <w:rPr>
                <w:rFonts w:ascii="Calisto MT" w:hAnsi="Calisto MT" w:cs="Calisto MT"/>
                <w:b/>
                <w:bCs/>
                <w:color w:val="000000"/>
                <w:vertAlign w:val="superscript"/>
                <w:lang w:val="en-GB"/>
              </w:rPr>
              <w:t xml:space="preserve"> 2</w:t>
            </w:r>
            <w:r w:rsidR="00980522" w:rsidRPr="006239D2">
              <w:rPr>
                <w:rFonts w:ascii="Calisto MT" w:hAnsi="Calisto MT" w:cs="Calisto MT"/>
                <w:b/>
                <w:bCs/>
                <w:color w:val="000000"/>
              </w:rPr>
              <w:t xml:space="preserve">, </w:t>
            </w:r>
            <w:proofErr w:type="spellStart"/>
            <w:r w:rsidRPr="006239D2">
              <w:rPr>
                <w:rFonts w:ascii="Calisto MT" w:hAnsi="Calisto MT" w:cs="Arial"/>
                <w:b/>
              </w:rPr>
              <w:t>Fahrial</w:t>
            </w:r>
            <w:proofErr w:type="spellEnd"/>
            <w:r w:rsidRPr="006239D2">
              <w:rPr>
                <w:rFonts w:ascii="Calisto MT" w:hAnsi="Calisto MT" w:cs="Arial"/>
                <w:b/>
              </w:rPr>
              <w:t xml:space="preserve"> </w:t>
            </w:r>
            <w:proofErr w:type="spellStart"/>
            <w:r w:rsidRPr="006239D2">
              <w:rPr>
                <w:rFonts w:ascii="Calisto MT" w:hAnsi="Calisto MT" w:cs="Arial"/>
                <w:b/>
              </w:rPr>
              <w:t>Amiq</w:t>
            </w:r>
            <w:proofErr w:type="spellEnd"/>
            <w:r w:rsidR="00980522" w:rsidRPr="006239D2">
              <w:rPr>
                <w:rFonts w:ascii="Calisto MT" w:hAnsi="Calisto MT" w:cs="Calisto MT"/>
                <w:b/>
                <w:bCs/>
                <w:color w:val="000000"/>
                <w:vertAlign w:val="superscript"/>
                <w:lang w:val="en-GB"/>
              </w:rPr>
              <w:t xml:space="preserve"> 3</w:t>
            </w:r>
            <w:r w:rsidR="00980522" w:rsidRPr="006239D2">
              <w:rPr>
                <w:rFonts w:ascii="Calisto MT" w:hAnsi="Calisto MT" w:cs="Calisto MT"/>
                <w:b/>
                <w:bCs/>
                <w:color w:val="000000"/>
                <w:lang w:val="en-GB"/>
              </w:rPr>
              <w:t xml:space="preserve"> </w:t>
            </w:r>
          </w:p>
          <w:p w:rsidR="00980522" w:rsidRPr="004F4A38"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
          <w:p w:rsidR="00980522" w:rsidRPr="00F95354" w:rsidRDefault="00004CA2"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F95354">
              <w:rPr>
                <w:rFonts w:ascii="Calisto MT" w:hAnsi="Calisto MT" w:cs="Arial"/>
                <w:color w:val="000000" w:themeColor="text1"/>
                <w:sz w:val="20"/>
                <w:szCs w:val="20"/>
              </w:rPr>
              <w:t>Universitas Negeri Malang</w:t>
            </w:r>
          </w:p>
          <w:p w:rsidR="00980522" w:rsidRPr="00923F0A" w:rsidRDefault="00966DED"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hyperlink r:id="rId10" w:history="1">
              <w:r w:rsidR="00004CA2" w:rsidRPr="00F95354">
                <w:rPr>
                  <w:rStyle w:val="Hyperlink"/>
                  <w:rFonts w:ascii="Calisto MT" w:hAnsi="Calisto MT" w:cs="Arial"/>
                  <w:color w:val="000000" w:themeColor="text1"/>
                  <w:sz w:val="20"/>
                  <w:szCs w:val="20"/>
                  <w:u w:val="none"/>
                </w:rPr>
                <w:t>aimanunnisa@gmail.com</w:t>
              </w:r>
            </w:hyperlink>
          </w:p>
          <w:p w:rsidR="00980522" w:rsidRPr="00CB4D18"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Cs/>
                <w:color w:val="000000"/>
                <w:sz w:val="20"/>
                <w:szCs w:val="20"/>
              </w:rPr>
            </w:pPr>
          </w:p>
        </w:tc>
      </w:tr>
      <w:tr w:rsidR="00980522" w:rsidRPr="00A90BD0" w:rsidTr="00496B4D">
        <w:trPr>
          <w:trHeight w:val="6343"/>
        </w:trPr>
        <w:tc>
          <w:tcPr>
            <w:tcW w:w="2511" w:type="dxa"/>
            <w:gridSpan w:val="2"/>
            <w:tcBorders>
              <w:top w:val="single" w:sz="4" w:space="0" w:color="auto"/>
              <w:bottom w:val="single" w:sz="4" w:space="0" w:color="auto"/>
            </w:tcBorders>
          </w:tcPr>
          <w:p w:rsidR="00980522" w:rsidRPr="00A90BD0" w:rsidRDefault="00980522" w:rsidP="00496B4D">
            <w:pPr>
              <w:pStyle w:val="BasicParagraph"/>
              <w:spacing w:line="240" w:lineRule="auto"/>
              <w:rPr>
                <w:rFonts w:cs="Times New Roman"/>
                <w:position w:val="-18"/>
              </w:rPr>
            </w:pPr>
            <w:r w:rsidRPr="00A90BD0">
              <w:rPr>
                <w:rFonts w:cs="Times New Roman"/>
                <w:b/>
                <w:bCs/>
                <w:position w:val="-20"/>
                <w:sz w:val="22"/>
                <w:szCs w:val="22"/>
              </w:rPr>
              <w:t>Info Artikel</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7C4FC3" w:rsidRDefault="00980522" w:rsidP="00496B4D">
            <w:pPr>
              <w:pStyle w:val="BasicParagraph"/>
              <w:spacing w:line="240" w:lineRule="auto"/>
              <w:contextualSpacing/>
              <w:rPr>
                <w:rFonts w:cs="Times New Roman"/>
                <w:position w:val="-6"/>
                <w:sz w:val="16"/>
                <w:szCs w:val="16"/>
              </w:rPr>
            </w:pPr>
            <w:r w:rsidRPr="007C4FC3">
              <w:rPr>
                <w:rFonts w:cs="Times New Roman"/>
                <w:i/>
                <w:iCs/>
                <w:position w:val="-6"/>
                <w:sz w:val="16"/>
                <w:szCs w:val="16"/>
              </w:rPr>
              <w:t>Sejarah Artikel:</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color w:val="000000"/>
                <w:position w:val="-6"/>
                <w:sz w:val="16"/>
                <w:szCs w:val="16"/>
                <w:lang w:val="id-ID"/>
              </w:rPr>
            </w:pPr>
            <w:r w:rsidRPr="007C4FC3">
              <w:rPr>
                <w:rFonts w:ascii="Calisto MT" w:hAnsi="Calisto MT" w:cs="Calisto MT"/>
                <w:color w:val="000000"/>
                <w:position w:val="-6"/>
                <w:sz w:val="16"/>
                <w:szCs w:val="16"/>
                <w:lang w:val="en-GB"/>
              </w:rPr>
              <w:t>Diterima</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Maret</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
                <w:color w:val="000000"/>
                <w:position w:val="-6"/>
                <w:sz w:val="16"/>
                <w:szCs w:val="16"/>
                <w:lang w:val="id-ID"/>
              </w:rPr>
            </w:pPr>
            <w:r w:rsidRPr="007C4FC3">
              <w:rPr>
                <w:rFonts w:ascii="Calisto MT" w:hAnsi="Calisto MT" w:cs="Calisto MT"/>
                <w:color w:val="000000"/>
                <w:position w:val="-6"/>
                <w:sz w:val="16"/>
                <w:szCs w:val="16"/>
                <w:lang w:val="en-GB"/>
              </w:rPr>
              <w:t>Disetujui</w:t>
            </w:r>
            <w:r>
              <w:rPr>
                <w:rFonts w:ascii="Calisto MT" w:hAnsi="Calisto MT" w:cs="Calisto MT"/>
                <w:color w:val="000000"/>
                <w:position w:val="-6"/>
                <w:sz w:val="16"/>
                <w:szCs w:val="16"/>
                <w:lang w:val="en-GB"/>
              </w:rPr>
              <w:t>:</w:t>
            </w:r>
            <w:r w:rsidRPr="007C4FC3">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r w:rsidRPr="007C4FC3">
              <w:rPr>
                <w:rFonts w:ascii="Calisto MT" w:hAnsi="Calisto MT" w:cs="Calisto MT"/>
                <w:color w:val="000000"/>
                <w:position w:val="-6"/>
                <w:sz w:val="16"/>
                <w:szCs w:val="16"/>
                <w:lang w:val="en-GB"/>
              </w:rPr>
              <w:t xml:space="preserve"> Dipublikasikan </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A90BD0" w:rsidRDefault="00980522" w:rsidP="00496B4D">
            <w:pPr>
              <w:pStyle w:val="BasicParagraph"/>
              <w:pBdr>
                <w:bottom w:val="single" w:sz="4" w:space="1" w:color="auto"/>
              </w:pBdr>
              <w:spacing w:line="240" w:lineRule="auto"/>
              <w:rPr>
                <w:rFonts w:cs="Times New Roman"/>
                <w:i/>
                <w:iCs/>
                <w:sz w:val="16"/>
                <w:szCs w:val="16"/>
              </w:rPr>
            </w:pPr>
            <w:r>
              <w:rPr>
                <w:rFonts w:cs="Times New Roman"/>
                <w:i/>
                <w:iCs/>
                <w:sz w:val="16"/>
                <w:szCs w:val="16"/>
              </w:rPr>
              <w:t>Kata Kunci</w:t>
            </w:r>
            <w:r w:rsidRPr="00A90BD0">
              <w:rPr>
                <w:rFonts w:cs="Times New Roman"/>
                <w:i/>
                <w:iCs/>
                <w:sz w:val="16"/>
                <w:szCs w:val="16"/>
              </w:rPr>
              <w:t>:</w:t>
            </w:r>
          </w:p>
          <w:p w:rsidR="00980522" w:rsidRPr="00E6482F" w:rsidRDefault="00E6482F" w:rsidP="00E6482F">
            <w:pPr>
              <w:pStyle w:val="BasicParagraph"/>
              <w:pBdr>
                <w:bottom w:val="single" w:sz="4" w:space="1" w:color="auto"/>
              </w:pBdr>
              <w:spacing w:line="240" w:lineRule="auto"/>
              <w:rPr>
                <w:rFonts w:cs="Times New Roman"/>
                <w:bCs/>
                <w:sz w:val="16"/>
                <w:szCs w:val="16"/>
                <w:lang w:val="en-US"/>
              </w:rPr>
            </w:pPr>
            <w:r w:rsidRPr="00E6482F">
              <w:rPr>
                <w:rFonts w:cs="Arial"/>
                <w:sz w:val="16"/>
              </w:rPr>
              <w:t xml:space="preserve">Permainan, Gerak </w:t>
            </w:r>
            <w:proofErr w:type="spellStart"/>
            <w:r w:rsidRPr="00E6482F">
              <w:rPr>
                <w:rFonts w:cs="Arial"/>
                <w:sz w:val="16"/>
              </w:rPr>
              <w:t>Lokomotor</w:t>
            </w:r>
            <w:proofErr w:type="spellEnd"/>
            <w:r w:rsidRPr="00E6482F">
              <w:rPr>
                <w:rFonts w:cs="Arial"/>
                <w:sz w:val="16"/>
              </w:rPr>
              <w:t>, Gerak Manipulatif</w:t>
            </w:r>
          </w:p>
        </w:tc>
        <w:tc>
          <w:tcPr>
            <w:tcW w:w="5994" w:type="dxa"/>
            <w:gridSpan w:val="3"/>
            <w:tcBorders>
              <w:top w:val="single" w:sz="4" w:space="0" w:color="auto"/>
              <w:bottom w:val="single" w:sz="4" w:space="0" w:color="auto"/>
            </w:tcBorders>
          </w:tcPr>
          <w:p w:rsidR="00980522" w:rsidRPr="00A90BD0" w:rsidRDefault="00980522" w:rsidP="00496B4D">
            <w:pPr>
              <w:pStyle w:val="BasicParagraph"/>
              <w:suppressAutoHyphens/>
              <w:spacing w:line="240" w:lineRule="auto"/>
              <w:rPr>
                <w:rFonts w:cs="Times New Roman"/>
                <w:sz w:val="24"/>
                <w:szCs w:val="24"/>
              </w:rPr>
            </w:pPr>
            <w:r w:rsidRPr="00A90BD0">
              <w:rPr>
                <w:rFonts w:cs="Times New Roman"/>
                <w:b/>
                <w:bCs/>
                <w:position w:val="-18"/>
                <w:sz w:val="22"/>
                <w:szCs w:val="22"/>
              </w:rPr>
              <w:t>Abstrak</w:t>
            </w:r>
          </w:p>
          <w:p w:rsidR="00980522" w:rsidRPr="00A90BD0" w:rsidRDefault="00980522" w:rsidP="00496B4D">
            <w:pPr>
              <w:pStyle w:val="AbstakIndo"/>
              <w:suppressAutoHyphens/>
              <w:spacing w:line="240" w:lineRule="auto"/>
              <w:rPr>
                <w:rFonts w:ascii="Calisto MT" w:hAnsi="Calisto MT" w:cs="Times New Roman"/>
              </w:rPr>
            </w:pPr>
            <w:r w:rsidRPr="00A90BD0">
              <w:rPr>
                <w:rFonts w:ascii="Calisto MT" w:hAnsi="Calisto MT" w:cs="Times New Roman"/>
              </w:rPr>
              <w:t>_________________________________</w:t>
            </w:r>
            <w:r>
              <w:rPr>
                <w:rFonts w:ascii="Calisto MT" w:hAnsi="Calisto MT" w:cs="Times New Roman"/>
              </w:rPr>
              <w:t>___________________________</w:t>
            </w:r>
          </w:p>
          <w:p w:rsidR="00980522" w:rsidRDefault="00980522" w:rsidP="00496B4D">
            <w:pPr>
              <w:pStyle w:val="IsiAbstrakIndo"/>
              <w:suppressAutoHyphens/>
              <w:spacing w:line="240" w:lineRule="auto"/>
              <w:rPr>
                <w:b w:val="0"/>
                <w:iCs/>
                <w:lang w:val="en-US"/>
              </w:rPr>
            </w:pPr>
          </w:p>
          <w:p w:rsidR="00980522" w:rsidRPr="00E6482F" w:rsidRDefault="00E6482F" w:rsidP="00496B4D">
            <w:pPr>
              <w:pStyle w:val="IsiAbstrakIndo"/>
              <w:suppressAutoHyphens/>
              <w:spacing w:line="240" w:lineRule="auto"/>
              <w:rPr>
                <w:b w:val="0"/>
                <w:iCs/>
                <w:color w:val="00B0F0"/>
                <w:lang w:val="en-US"/>
              </w:rPr>
            </w:pPr>
            <w:r w:rsidRPr="00E6482F">
              <w:rPr>
                <w:rFonts w:cs="Arial"/>
                <w:b w:val="0"/>
              </w:rPr>
              <w:t xml:space="preserve">Tujuan dari penelitian dan pengembangan ini adalah untuk mengembangkan permainan gerak dasar </w:t>
            </w:r>
            <w:proofErr w:type="spellStart"/>
            <w:r w:rsidRPr="00E6482F">
              <w:rPr>
                <w:rFonts w:cs="Arial"/>
                <w:b w:val="0"/>
              </w:rPr>
              <w:t>lokomotor</w:t>
            </w:r>
            <w:proofErr w:type="spellEnd"/>
            <w:r w:rsidRPr="00E6482F">
              <w:rPr>
                <w:rFonts w:cs="Arial"/>
                <w:b w:val="0"/>
              </w:rPr>
              <w:t xml:space="preserve"> dan manipulatif untuk siswa kelas III sekolah dasar yang diharapkan dapat digunakan dalam pembelajaran pendidikan jasmani, olahraga dan kesehatan. Dalam penelitian pengembangan ini teknik analisis data yang digunakan yaitu teknik analisis kualitatif dan deskriptif dengan persentase. Teknik ini digunakan untuk menganalisis data yang diperoleh dari hasil penyebaran angket atau kuesioner, sehingga pengembangan permainan gerak dasar </w:t>
            </w:r>
            <w:proofErr w:type="spellStart"/>
            <w:r w:rsidRPr="00E6482F">
              <w:rPr>
                <w:rFonts w:cs="Arial"/>
                <w:b w:val="0"/>
              </w:rPr>
              <w:t>lokomotor</w:t>
            </w:r>
            <w:proofErr w:type="spellEnd"/>
            <w:r w:rsidRPr="00E6482F">
              <w:rPr>
                <w:rFonts w:cs="Arial"/>
                <w:b w:val="0"/>
              </w:rPr>
              <w:t xml:space="preserve"> dan manipulatif untuk siswa kelas III SDN Bareng 3 Kota Malang dapat digunakan.</w:t>
            </w:r>
            <w:r w:rsidRPr="00E6482F">
              <w:rPr>
                <w:b w:val="0"/>
                <w:iCs/>
                <w:lang w:val="id-ID"/>
              </w:rPr>
              <w:t xml:space="preserve"> </w:t>
            </w:r>
          </w:p>
          <w:p w:rsidR="00980522" w:rsidRPr="004D74D2" w:rsidRDefault="00980522" w:rsidP="00496B4D">
            <w:pPr>
              <w:pStyle w:val="IsiAbstrakIndo"/>
              <w:suppressAutoHyphens/>
              <w:spacing w:line="240" w:lineRule="auto"/>
              <w:rPr>
                <w:rFonts w:cs="Times New Roman"/>
                <w:i/>
                <w:lang w:val="en-US"/>
              </w:rPr>
            </w:pPr>
          </w:p>
          <w:p w:rsidR="00980522" w:rsidRPr="001F07DE" w:rsidRDefault="00980522" w:rsidP="00496B4D">
            <w:pPr>
              <w:pStyle w:val="AbstakIndo"/>
              <w:suppressAutoHyphens/>
              <w:spacing w:line="240"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980522" w:rsidRPr="00A90BD0" w:rsidRDefault="00980522" w:rsidP="00496B4D">
            <w:pPr>
              <w:pStyle w:val="BasicParagraph"/>
              <w:suppressAutoHyphens/>
              <w:spacing w:line="240" w:lineRule="auto"/>
              <w:rPr>
                <w:rFonts w:cs="Times New Roman"/>
              </w:rPr>
            </w:pPr>
            <w:r w:rsidRPr="00A90BD0">
              <w:rPr>
                <w:rFonts w:cs="Times New Roman"/>
              </w:rPr>
              <w:t>___________________________________</w:t>
            </w:r>
            <w:r>
              <w:rPr>
                <w:rFonts w:cs="Times New Roman"/>
              </w:rPr>
              <w:t>_________________________</w:t>
            </w:r>
          </w:p>
          <w:p w:rsidR="00980522" w:rsidRDefault="00980522" w:rsidP="00496B4D">
            <w:pPr>
              <w:pStyle w:val="BasicParagraph"/>
              <w:suppressAutoHyphens/>
              <w:spacing w:line="240" w:lineRule="auto"/>
              <w:jc w:val="both"/>
              <w:rPr>
                <w:rFonts w:cs="Times New Roman"/>
                <w:sz w:val="16"/>
                <w:lang w:val="en-US"/>
              </w:rPr>
            </w:pPr>
          </w:p>
          <w:p w:rsidR="00980522" w:rsidRPr="00E6482F" w:rsidRDefault="00E6482F" w:rsidP="00496B4D">
            <w:pPr>
              <w:pStyle w:val="BasicParagraph"/>
              <w:suppressAutoHyphens/>
              <w:spacing w:line="240" w:lineRule="auto"/>
              <w:jc w:val="both"/>
              <w:rPr>
                <w:rFonts w:cs="Times New Roman"/>
                <w:i/>
                <w:color w:val="00B0F0"/>
                <w:sz w:val="18"/>
                <w:szCs w:val="18"/>
                <w:lang w:val="en-US"/>
              </w:rPr>
            </w:pPr>
            <w:r w:rsidRPr="00E6482F">
              <w:rPr>
                <w:rFonts w:cs="Arial"/>
                <w:sz w:val="18"/>
                <w:szCs w:val="18"/>
              </w:rPr>
              <w:t xml:space="preserve">The purpose of this research is and develop basic </w:t>
            </w:r>
            <w:proofErr w:type="spellStart"/>
            <w:r w:rsidRPr="00E6482F">
              <w:rPr>
                <w:rFonts w:cs="Arial"/>
                <w:sz w:val="18"/>
                <w:szCs w:val="18"/>
              </w:rPr>
              <w:t>locomotor</w:t>
            </w:r>
            <w:proofErr w:type="spellEnd"/>
            <w:r w:rsidRPr="00E6482F">
              <w:rPr>
                <w:rFonts w:cs="Arial"/>
                <w:sz w:val="18"/>
                <w:szCs w:val="18"/>
              </w:rPr>
              <w:t xml:space="preserve"> and manipulative motion game for third grade students of SDN Bareng 3 Malang City which is expected to be used in physical education, sport and health.</w:t>
            </w:r>
            <w:r w:rsidRPr="00E6482F">
              <w:rPr>
                <w:rFonts w:cs="Times New Roman"/>
                <w:sz w:val="18"/>
                <w:szCs w:val="18"/>
              </w:rPr>
              <w:t xml:space="preserve"> </w:t>
            </w:r>
            <w:r w:rsidRPr="00E6482F">
              <w:rPr>
                <w:rFonts w:cs="Arial"/>
                <w:sz w:val="18"/>
                <w:szCs w:val="18"/>
              </w:rPr>
              <w:t xml:space="preserve">In this research development of data analysis techniques used are qualitative analysis techniques and descriptive with percentage. This technique is used to </w:t>
            </w:r>
            <w:proofErr w:type="spellStart"/>
            <w:r w:rsidRPr="00E6482F">
              <w:rPr>
                <w:rFonts w:cs="Arial"/>
                <w:sz w:val="18"/>
                <w:szCs w:val="18"/>
              </w:rPr>
              <w:t>analyze</w:t>
            </w:r>
            <w:proofErr w:type="spellEnd"/>
            <w:r w:rsidRPr="00E6482F">
              <w:rPr>
                <w:rFonts w:cs="Arial"/>
                <w:sz w:val="18"/>
                <w:szCs w:val="18"/>
              </w:rPr>
              <w:t xml:space="preserve"> the data obtained from the questionnaire or questionnaire, so the development of </w:t>
            </w:r>
            <w:proofErr w:type="spellStart"/>
            <w:r w:rsidRPr="00E6482F">
              <w:rPr>
                <w:rFonts w:cs="Arial"/>
                <w:sz w:val="18"/>
                <w:szCs w:val="18"/>
              </w:rPr>
              <w:t>locomotor</w:t>
            </w:r>
            <w:proofErr w:type="spellEnd"/>
            <w:r w:rsidRPr="00E6482F">
              <w:rPr>
                <w:rFonts w:cs="Arial"/>
                <w:sz w:val="18"/>
                <w:szCs w:val="18"/>
              </w:rPr>
              <w:t xml:space="preserve"> and manipulative basic game motion for third grade students of SDN Bareng 3 Malang City can be used</w:t>
            </w:r>
            <w:r w:rsidRPr="00E6482F">
              <w:rPr>
                <w:rFonts w:cs="Times New Roman"/>
                <w:sz w:val="18"/>
                <w:szCs w:val="18"/>
              </w:rPr>
              <w:t>.</w:t>
            </w:r>
            <w:r w:rsidR="00980522" w:rsidRPr="00E6482F">
              <w:rPr>
                <w:rFonts w:cs="Times New Roman"/>
                <w:i/>
                <w:sz w:val="18"/>
                <w:szCs w:val="18"/>
                <w:lang w:val="en-US"/>
              </w:rPr>
              <w:t xml:space="preserve"> </w:t>
            </w:r>
          </w:p>
          <w:p w:rsidR="00980522" w:rsidRDefault="00980522" w:rsidP="00496B4D">
            <w:pPr>
              <w:pStyle w:val="BasicParagraph"/>
              <w:suppressAutoHyphens/>
              <w:spacing w:line="240" w:lineRule="auto"/>
              <w:jc w:val="both"/>
              <w:rPr>
                <w:rFonts w:cs="Times New Roman"/>
                <w:sz w:val="18"/>
                <w:szCs w:val="18"/>
                <w:lang w:val="en-US"/>
              </w:rPr>
            </w:pPr>
          </w:p>
          <w:p w:rsidR="00980522" w:rsidRPr="004D74D2" w:rsidRDefault="00980522" w:rsidP="00496B4D">
            <w:pPr>
              <w:pStyle w:val="BasicParagraph"/>
              <w:suppressAutoHyphens/>
              <w:spacing w:line="240" w:lineRule="auto"/>
              <w:jc w:val="both"/>
              <w:rPr>
                <w:rFonts w:cs="Times New Roman"/>
                <w:sz w:val="18"/>
                <w:szCs w:val="18"/>
                <w:lang w:val="en-US"/>
              </w:rPr>
            </w:pPr>
          </w:p>
          <w:p w:rsidR="00980522" w:rsidRPr="00A90BD0" w:rsidRDefault="00980522" w:rsidP="00496B4D">
            <w:pPr>
              <w:pStyle w:val="BasicParagraph"/>
              <w:suppressAutoHyphens/>
              <w:spacing w:line="240" w:lineRule="auto"/>
              <w:jc w:val="right"/>
              <w:rPr>
                <w:rFonts w:cs="Times New Roman"/>
              </w:rPr>
            </w:pPr>
            <w:r w:rsidRPr="00A90BD0">
              <w:rPr>
                <w:rFonts w:cs="Times New Roman"/>
              </w:rPr>
              <w:t>© 201</w:t>
            </w:r>
            <w:r w:rsidR="00E6482F">
              <w:rPr>
                <w:rFonts w:cs="Times New Roman"/>
                <w:lang w:val="en-US"/>
              </w:rPr>
              <w:t>9</w:t>
            </w:r>
            <w:r w:rsidRPr="00A90BD0">
              <w:rPr>
                <w:rFonts w:cs="Times New Roman"/>
              </w:rPr>
              <w:t xml:space="preserve"> Universitas Negeri </w:t>
            </w:r>
            <w:r>
              <w:rPr>
                <w:rFonts w:cs="Times New Roman"/>
              </w:rPr>
              <w:t>Malang</w:t>
            </w:r>
          </w:p>
          <w:p w:rsidR="00980522" w:rsidRPr="00A90BD0" w:rsidRDefault="00980522" w:rsidP="00496B4D">
            <w:pPr>
              <w:pStyle w:val="BasicParagraph"/>
              <w:suppressAutoHyphens/>
              <w:spacing w:line="240" w:lineRule="auto"/>
              <w:jc w:val="right"/>
              <w:rPr>
                <w:rFonts w:cs="Times New Roman"/>
              </w:rPr>
            </w:pPr>
          </w:p>
        </w:tc>
      </w:tr>
      <w:tr w:rsidR="00980522" w:rsidRPr="00A90BD0" w:rsidTr="00496B4D">
        <w:tc>
          <w:tcPr>
            <w:tcW w:w="5462" w:type="dxa"/>
            <w:gridSpan w:val="3"/>
            <w:tcBorders>
              <w:top w:val="single" w:sz="4" w:space="0" w:color="auto"/>
            </w:tcBorders>
          </w:tcPr>
          <w:p w:rsidR="00980522" w:rsidRPr="008D6BB9"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980522" w:rsidRPr="004D74D2" w:rsidRDefault="00980522" w:rsidP="00496B4D">
            <w:pPr>
              <w:pStyle w:val="BasicParagraph"/>
              <w:spacing w:line="240" w:lineRule="auto"/>
              <w:rPr>
                <w:sz w:val="16"/>
                <w:szCs w:val="16"/>
                <w:lang w:val="en-US"/>
              </w:rPr>
            </w:pPr>
            <w:r w:rsidRPr="00FC0E29">
              <w:rPr>
                <w:sz w:val="16"/>
                <w:szCs w:val="16"/>
              </w:rPr>
              <w:t xml:space="preserve">E-mail: </w:t>
            </w:r>
            <w:r>
              <w:rPr>
                <w:sz w:val="16"/>
                <w:szCs w:val="16"/>
                <w:lang w:val="en-US"/>
              </w:rPr>
              <w:t>pjk.journal@um.ac.id</w:t>
            </w:r>
          </w:p>
          <w:p w:rsidR="00980522" w:rsidRPr="00264831" w:rsidRDefault="00980522" w:rsidP="00496B4D">
            <w:pPr>
              <w:pStyle w:val="BasicParagraph"/>
              <w:spacing w:line="240" w:lineRule="auto"/>
              <w:rPr>
                <w:rFonts w:cs="Times New Roman"/>
                <w:sz w:val="16"/>
                <w:szCs w:val="16"/>
              </w:rPr>
            </w:pPr>
          </w:p>
        </w:tc>
        <w:tc>
          <w:tcPr>
            <w:tcW w:w="3043" w:type="dxa"/>
            <w:gridSpan w:val="2"/>
            <w:tcBorders>
              <w:top w:val="single" w:sz="4" w:space="0" w:color="auto"/>
            </w:tcBorders>
          </w:tcPr>
          <w:p w:rsidR="00980522" w:rsidRPr="000546A6" w:rsidRDefault="00980522" w:rsidP="00496B4D">
            <w:pPr>
              <w:pStyle w:val="BasicParagraph"/>
              <w:spacing w:line="240" w:lineRule="auto"/>
              <w:jc w:val="right"/>
              <w:rPr>
                <w:color w:val="auto"/>
                <w:lang w:val="en-US"/>
              </w:rPr>
            </w:pPr>
            <w:r w:rsidRPr="000546A6">
              <w:rPr>
                <w:color w:val="auto"/>
              </w:rPr>
              <w:t>ISSN</w:t>
            </w:r>
            <w:r>
              <w:rPr>
                <w:color w:val="auto"/>
              </w:rPr>
              <w:t>:</w:t>
            </w:r>
            <w:r w:rsidRPr="000546A6">
              <w:rPr>
                <w:color w:val="auto"/>
              </w:rPr>
              <w:t xml:space="preserve"> </w:t>
            </w:r>
            <w:r w:rsidR="00923F0A">
              <w:rPr>
                <w:color w:val="auto"/>
                <w:lang w:val="id-ID"/>
              </w:rPr>
              <w:t>2614</w:t>
            </w:r>
            <w:r w:rsidRPr="000546A6">
              <w:rPr>
                <w:color w:val="auto"/>
              </w:rPr>
              <w:t>-</w:t>
            </w:r>
            <w:r w:rsidR="00923F0A">
              <w:rPr>
                <w:color w:val="auto"/>
                <w:lang w:val="id-ID"/>
              </w:rPr>
              <w:t>8293</w:t>
            </w:r>
            <w:r w:rsidRPr="000546A6">
              <w:rPr>
                <w:color w:val="auto"/>
              </w:rPr>
              <w:t xml:space="preserve"> </w:t>
            </w:r>
            <w:r w:rsidRPr="000546A6">
              <w:rPr>
                <w:color w:val="auto"/>
                <w:lang w:val="en-US"/>
              </w:rPr>
              <w:t>(</w:t>
            </w:r>
            <w:r w:rsidR="00923F0A">
              <w:rPr>
                <w:color w:val="auto"/>
                <w:lang w:val="id-ID"/>
              </w:rPr>
              <w:t>Online</w:t>
            </w:r>
            <w:r w:rsidRPr="000546A6">
              <w:rPr>
                <w:color w:val="auto"/>
                <w:lang w:val="en-US"/>
              </w:rPr>
              <w:t>)</w:t>
            </w:r>
          </w:p>
          <w:p w:rsidR="00980522" w:rsidRPr="00A90BD0" w:rsidRDefault="00980522" w:rsidP="00496B4D">
            <w:pPr>
              <w:pStyle w:val="BasicParagraph"/>
              <w:spacing w:line="240" w:lineRule="auto"/>
              <w:jc w:val="right"/>
              <w:rPr>
                <w:rFonts w:cs="Times New Roman"/>
                <w:bCs/>
                <w:position w:val="-18"/>
                <w:sz w:val="22"/>
                <w:szCs w:val="22"/>
              </w:rPr>
            </w:pPr>
          </w:p>
        </w:tc>
      </w:tr>
    </w:tbl>
    <w:p w:rsidR="00980522" w:rsidRDefault="00980522" w:rsidP="00980522">
      <w:pPr>
        <w:spacing w:before="0" w:beforeAutospacing="0" w:after="0" w:afterAutospacing="0"/>
        <w:ind w:left="0"/>
        <w:jc w:val="both"/>
        <w:rPr>
          <w:rFonts w:ascii="Calisto MT" w:hAnsi="Calisto MT" w:cs="Times New Roman"/>
        </w:rPr>
      </w:pPr>
    </w:p>
    <w:p w:rsidR="00980522" w:rsidRPr="00FC0E29" w:rsidRDefault="00980522" w:rsidP="00980522">
      <w:pPr>
        <w:spacing w:before="0" w:beforeAutospacing="0" w:after="0" w:afterAutospacing="0"/>
        <w:ind w:left="0"/>
        <w:jc w:val="both"/>
        <w:rPr>
          <w:rFonts w:ascii="Calisto MT" w:hAnsi="Calisto MT" w:cs="Times New Roman"/>
        </w:rPr>
        <w:sectPr w:rsidR="00980522" w:rsidRPr="00FC0E29" w:rsidSect="009734B6">
          <w:headerReference w:type="even" r:id="rId11"/>
          <w:headerReference w:type="default" r:id="rId12"/>
          <w:footerReference w:type="default" r:id="rId13"/>
          <w:headerReference w:type="first" r:id="rId14"/>
          <w:footerReference w:type="first" r:id="rId15"/>
          <w:pgSz w:w="11907" w:h="16839" w:code="9"/>
          <w:pgMar w:top="1701" w:right="1701" w:bottom="1701" w:left="1701" w:header="720" w:footer="720" w:gutter="0"/>
          <w:pgNumType w:start="1"/>
          <w:cols w:space="720"/>
          <w:titlePg/>
          <w:docGrid w:linePitch="360"/>
        </w:sectPr>
      </w:pPr>
    </w:p>
    <w:p w:rsidR="00980522" w:rsidRDefault="00980522" w:rsidP="00980522">
      <w:pPr>
        <w:pStyle w:val="Heading2"/>
        <w:spacing w:line="240" w:lineRule="auto"/>
        <w:rPr>
          <w:lang w:val="id-ID"/>
        </w:rPr>
      </w:pPr>
      <w:r w:rsidRPr="00EF7C62">
        <w:lastRenderedPageBreak/>
        <w:t>Pendahuluan</w:t>
      </w:r>
    </w:p>
    <w:p w:rsidR="00980522" w:rsidRPr="00AF0C75" w:rsidRDefault="00980522" w:rsidP="00980522">
      <w:pPr>
        <w:spacing w:before="0" w:beforeAutospacing="0" w:after="0" w:afterAutospacing="0"/>
        <w:ind w:left="0" w:right="0"/>
        <w:rPr>
          <w:lang w:val="id-ID"/>
        </w:rPr>
      </w:pPr>
    </w:p>
    <w:p w:rsidR="00D622BE" w:rsidRDefault="00D622BE" w:rsidP="00D622BE">
      <w:pPr>
        <w:pStyle w:val="Heading4"/>
        <w:spacing w:line="240" w:lineRule="auto"/>
        <w:ind w:firstLine="544"/>
        <w:contextualSpacing/>
        <w:rPr>
          <w:rFonts w:cs="Arial"/>
        </w:rPr>
      </w:pPr>
      <w:r w:rsidRPr="00D622BE">
        <w:rPr>
          <w:rFonts w:cs="Arial"/>
        </w:rPr>
        <w:t xml:space="preserve">Pendidikan merupakan usaha sadar yang dilakukan peserta didik untuk meningkatkan atau mengembangkan potensi yang ada atau yang dimiliki untuk menjalani hidup yang sebaik-baiknya. Potensi yang ada pada diri setiap peserta didik terdiri dari potensi yang positif dan negatif. Potensi yang berkembang tergantung pada lingkungan yang mempengaruhinya. Seperti </w:t>
      </w:r>
      <w:r w:rsidR="00EA6073">
        <w:rPr>
          <w:rFonts w:cs="Arial"/>
        </w:rPr>
        <w:t xml:space="preserve">pernyataan </w:t>
      </w:r>
      <w:r w:rsidRPr="00D622BE">
        <w:rPr>
          <w:rFonts w:cs="Arial"/>
        </w:rPr>
        <w:t xml:space="preserve">bahwa </w:t>
      </w:r>
      <w:r w:rsidR="00EA6073">
        <w:rPr>
          <w:rFonts w:cs="Arial"/>
        </w:rPr>
        <w:lastRenderedPageBreak/>
        <w:t xml:space="preserve">pendidikan adalah </w:t>
      </w:r>
      <w:r w:rsidRPr="00D622BE">
        <w:rPr>
          <w:rFonts w:cs="Arial"/>
        </w:rPr>
        <w:t>usaha sadar dan terencana untuk mewujudkan suasana belajar dan proses pembelajaran agar peserta didik secara aktif mengembangkan potensi dirinya untuk kekuatan spiritual keagamaan, pengendalian diri, kepribadian, kecerdasan, akhlak mulia, serta keterampilan yang diperlukan dirinya, masya</w:t>
      </w:r>
      <w:r w:rsidR="00EA6073">
        <w:rPr>
          <w:rFonts w:cs="Arial"/>
        </w:rPr>
        <w:t xml:space="preserve">rakat, bangsa dan negara </w:t>
      </w:r>
      <w:r w:rsidR="00EA6073">
        <w:rPr>
          <w:rFonts w:cs="Arial"/>
        </w:rPr>
        <w:fldChar w:fldCharType="begin" w:fldLock="1"/>
      </w:r>
      <w:r w:rsidR="00EA6073">
        <w:rPr>
          <w:rFonts w:cs="Arial"/>
        </w:rPr>
        <w:instrText>ADDIN CSL_CITATION {"citationItems":[{"id":"ITEM-1","itemData":{"DOI":"10.4324/9781315862897","ISBN":"9781317950073","abstract":"In the late twentieth century historians of education came to argue that the urban experience can only be fully understood through the social processes and social relations associated with schooling. The new 'social history' of education has thus often been closely aligned to the history of cities. In Australia the 'new' social history of the city has often been written in terms of family formation, sometimes related to the history of childhood, but there has only been marginal attention to the specific nature of education in Sydney as an urban phenomenon.\r \r This essay focuses on Sydney schools and other educational institutions, although it raises questions about social processes and social formations. It suggests that the history of education in Sydney can be understood in a number of phases and themes, each related to the changing social history of Sydney. Informal education had long been part of the culture of indigenous society prior to the British invasion of 1788. In the early colonial period, up to about 1830, governments established schools for the children of convicts based in Sydney and even for Aboriginal children. There were also 'private venture' schools for the sons and sometimes daughters of free settlers. In the period from 1830 to 1870 the city of Sydney emerged as a metropolitan centre of educational establishments including schools, colleges and the University. From around 1870 to the end of World War II, with the growth of the city of Sydney and its suburbs, schooling was increasingly related to social class, gender and religion as part of suburban life. From 1945, the 'neighbourhood' school and even the 'local' university has become part of a pattern of regional differences associated with the expansion of the city through migration and population growth.","author":[{"dropping-particle":"","family":"Pitt","given":"D. C.","non-dropping-particle":"","parse-names":false,"suffix":""}],"container-title":"The Future of the Environment: The Social Dimensions of Conservation and Ecological Alternatives","id":"ITEM-1","issued":{"date-parts":[["2013"]]},"title":"Education","type":"chapter"},"uris":["http://www.mendeley.com/documents/?uuid=1b93bbbf-2f00-4272-8b14-21897c126155","http://www.mendeley.com/documents/?uuid=8f1931e8-638d-4f91-b38f-c281304d6270"]}],"mendeley":{"formattedCitation":"(Pitt, 2013)","plainTextFormattedCitation":"(Pitt, 2013)","previouslyFormattedCitation":"(Pitt, 2013)"},"properties":{"noteIndex":0},"schema":"https://github.com/citation-style-language/schema/raw/master/csl-citation.json"}</w:instrText>
      </w:r>
      <w:r w:rsidR="00EA6073">
        <w:rPr>
          <w:rFonts w:cs="Arial"/>
        </w:rPr>
        <w:fldChar w:fldCharType="separate"/>
      </w:r>
      <w:r w:rsidR="00EA6073" w:rsidRPr="00EA6073">
        <w:rPr>
          <w:rFonts w:cs="Arial"/>
          <w:noProof/>
        </w:rPr>
        <w:t>(Pitt, 2013)</w:t>
      </w:r>
      <w:r w:rsidR="00EA6073">
        <w:rPr>
          <w:rFonts w:cs="Arial"/>
        </w:rPr>
        <w:fldChar w:fldCharType="end"/>
      </w:r>
      <w:r w:rsidRPr="00D622BE">
        <w:rPr>
          <w:rFonts w:cs="Arial"/>
        </w:rPr>
        <w:t>.</w:t>
      </w:r>
    </w:p>
    <w:p w:rsidR="006B5D5F" w:rsidRDefault="00D622BE" w:rsidP="00EA6073">
      <w:pPr>
        <w:pStyle w:val="Heading4"/>
        <w:spacing w:line="240" w:lineRule="auto"/>
        <w:ind w:firstLine="544"/>
        <w:contextualSpacing/>
        <w:rPr>
          <w:rFonts w:cs="Arial"/>
        </w:rPr>
      </w:pPr>
      <w:r w:rsidRPr="00D622BE">
        <w:rPr>
          <w:rFonts w:cs="Arial"/>
        </w:rPr>
        <w:t>Pendidikan pada dasarnya sangat penting dan berguna untuk meningkatkan kualitas Sumber Daya Manusia (SDM) di Indonesia, salah satunya melalui pendidikan jasmani. Pendidikan jasmani merupakan salah satu usaha yang dilakukan untuk menciptakan lingkungan yang mampu mempengaruhi potensi peserta didik agar berkembang ke arah tingkah laku yang positif melalui</w:t>
      </w:r>
      <w:r w:rsidR="00EA6073">
        <w:rPr>
          <w:rFonts w:cs="Arial"/>
        </w:rPr>
        <w:t xml:space="preserve"> aktivitas jasmani </w:t>
      </w:r>
      <w:r w:rsidR="00EA6073">
        <w:rPr>
          <w:rFonts w:cs="Arial"/>
        </w:rPr>
        <w:fldChar w:fldCharType="begin" w:fldLock="1"/>
      </w:r>
      <w:r w:rsidR="00EA6073">
        <w:rPr>
          <w:rFonts w:cs="Arial"/>
        </w:rPr>
        <w:instrText>ADDIN CSL_CITATION {"citationItems":[{"id":"ITEM-1","itemData":{"DOI":"10.4324/9781315099484","ISBN":"9781351583244","abstract":"Objectives. We determined whether physical education (PE) taught by specialists contributed to academic development and prevention of obesity in elementary school children. Methods. Our 2-year longitudinal study involved 620 boys and girls initially in grade 3 in Australia, all receiving 150 minutes per week of PE. One group (specialist-taught PE; n=312) included 90 minutes per week of PE from visiting specialists; the other (common-practice PE; n=308) received all PE from generalist classroom teachers. Measurements included percentage of body fat (measured by dual-emission x-ray absorptiometry) and writing, numeracy, and reading proficiency (by government tests). Results. Compared with common-practice PE, specialist-taught PE was associated with a smaller increase in age-related percentage of body fat (P=.005). Specialist-taught PE was also associated with greater improvements in numeracy (P&lt;.03) and writing (P=.13) scores. There was no evidence of a reading effect. Conclusions. The attenuated age-related increases in percentage of body fat and enhanced numeracy development among elementary school children receiving PE from specialists provides support for the role of PE in both preventive medicine and academic development. (Am J Public Health. Published online ahead of print September 22, 2011: e1-e7. doi:10.2105/AJPH.2011.300220).","author":[{"dropping-particle":"","family":"Sugden","given":"David","non-dropping-particle":"","parse-names":false,"suffix":""},{"dropping-particle":"","family":"Wright","given":"Helen","non-dropping-particle":"","parse-names":false,"suffix":""}],"container-title":"Enabling Access: Effective Teaching and Learning for Pupils with Learning Difficulties: Classic Edition","id":"ITEM-1","issued":{"date-parts":[["2017"]]},"title":"Physical education","type":"chapter"},"uris":["http://www.mendeley.com/documents/?uuid=3f8bb956-0727-4f6d-8950-d312b505f9a3","http://www.mendeley.com/documents/?uuid=0c767787-4bc2-4f3d-9a77-a6bb3c29e030"]}],"mendeley":{"formattedCitation":"(Sugden &amp; Wright, 2017)","plainTextFormattedCitation":"(Sugden &amp; Wright, 2017)","previouslyFormattedCitation":"(Sugden &amp; Wright, 2017)"},"properties":{"noteIndex":0},"schema":"https://github.com/citation-style-language/schema/raw/master/csl-citation.json"}</w:instrText>
      </w:r>
      <w:r w:rsidR="00EA6073">
        <w:rPr>
          <w:rFonts w:cs="Arial"/>
        </w:rPr>
        <w:fldChar w:fldCharType="separate"/>
      </w:r>
      <w:r w:rsidR="00EA6073" w:rsidRPr="00EA6073">
        <w:rPr>
          <w:rFonts w:cs="Arial"/>
          <w:noProof/>
        </w:rPr>
        <w:t>(Sugden &amp; Wright, 2017)</w:t>
      </w:r>
      <w:r w:rsidR="00EA6073">
        <w:rPr>
          <w:rFonts w:cs="Arial"/>
        </w:rPr>
        <w:fldChar w:fldCharType="end"/>
      </w:r>
      <w:r w:rsidRPr="00D622BE">
        <w:rPr>
          <w:rFonts w:cs="Arial"/>
        </w:rPr>
        <w:t xml:space="preserve">. Sedangkan </w:t>
      </w:r>
      <w:r w:rsidR="00EA6073">
        <w:rPr>
          <w:rFonts w:cs="Arial"/>
        </w:rPr>
        <w:t xml:space="preserve">lainnya mengartikan </w:t>
      </w:r>
      <w:r w:rsidRPr="00D622BE">
        <w:rPr>
          <w:rFonts w:cs="Arial"/>
        </w:rPr>
        <w:t>pendidikan jasmani adalah proses pendidikan yang dilakukan melalui pengalaman belajar yang diberikan kepada siswa berupa aktivitas jasmani, bermain dan olahraga yang berguna untuk merangsang pertumbuhan dan perkembangan fisik, motorik, kognitif, emosional, sosial dan moral</w:t>
      </w:r>
      <w:r w:rsidR="00EA6073">
        <w:rPr>
          <w:rFonts w:cs="Arial"/>
        </w:rPr>
        <w:t xml:space="preserve"> </w:t>
      </w:r>
      <w:r w:rsidR="00EA6073">
        <w:rPr>
          <w:rFonts w:cs="Arial"/>
        </w:rPr>
        <w:fldChar w:fldCharType="begin" w:fldLock="1"/>
      </w:r>
      <w:r w:rsidR="00EA6073">
        <w:rPr>
          <w:rFonts w:cs="Arial"/>
        </w:rPr>
        <w:instrText xml:space="preserve">ADDIN CSL_CITATION {"citationItems":[{"id":"ITEM-1","itemData":{"DOI":"FE-00190-2013","abstract":"A high-quality physical education curriculum inspires all pupils to succeed and excel in competitive sport and other physically-demanding activities. It should provide opportunities for pupils to become physically confident in a way which supports their health and fitness. Opportunities to compete in sport and other activities build character and help to embed values such as fairness and respect. Aims The national curriculum for physical education aims to ensure that all pupils: </w:instrText>
      </w:r>
      <w:r w:rsidR="00EA6073">
        <w:rPr>
          <w:rFonts w:cs="Arial"/>
        </w:rPr>
        <w:instrText xml:space="preserve"> develop competence to excel in a broad range of physical activities </w:instrText>
      </w:r>
      <w:r w:rsidR="00EA6073">
        <w:rPr>
          <w:rFonts w:cs="Arial"/>
        </w:rPr>
        <w:instrText xml:space="preserve"> are physically active for sustained periods of time </w:instrText>
      </w:r>
      <w:r w:rsidR="00EA6073">
        <w:rPr>
          <w:rFonts w:cs="Arial"/>
        </w:rPr>
        <w:instrText xml:space="preserve"> engage in competitive sports and activities </w:instrText>
      </w:r>
      <w:r w:rsidR="00EA6073">
        <w:rPr>
          <w:rFonts w:cs="Arial"/>
        </w:rPr>
        <w:instrText> lead healthy, active lives. Attainment targets By the end of each key stage, pupils are expected to know, apply and understand the matters, skills and processes specified in the relevant programme of study. Schools are not required by law to teach the example content in [square brackets]. Subject content Key stage 3 Pupils should build on and embed the physical development and skills learned in key stages 1 and 2, become more competent, confident and expert in their techniques, and apply them across different sports and physical activities. They should understand what makes a performance effective and how to apply these principles to their own and others' work. They should develop the confidence and interest to get involved in exercise, sports and activities out of school and in later life, and understand and apply the long-term health benefits of physical activity. Pupils should be taught to:","author":[{"dropping-particle":"","family":"Department for Education","given":"","non-dropping-particle":"","parse-names":false,"suffix":""}],"container-title":"London: DfE","id":"ITEM-1","issued":{"date-parts":[["2013"]]},"title":"Physical education programmes of study: key stages 3 and 4 National curriculum in England Purpose of study","type":"article-journal"},"uris":["http://www.mendeley.com/documents/?uuid=8c1beebf-8c2e-4880-bb5b-940485ecb3b6","http://www.mendeley.com/documents/?uuid=68f17cd8-31fb-4a23-b348-a6b3fa0bcf2f"]}],"mendeley":{"formattedCitation":"(Department for Education, 2013)","plainTextFormattedCitation":"(Department for Education, 2013)","previouslyFormattedCitation":"(Department for Education, 2013)"},"properties":{"noteIndex":0},"schema":"https://github.com/citation-style-language/schema/raw/master/csl-citation.json"}</w:instrText>
      </w:r>
      <w:r w:rsidR="00EA6073">
        <w:rPr>
          <w:rFonts w:cs="Arial"/>
        </w:rPr>
        <w:fldChar w:fldCharType="separate"/>
      </w:r>
      <w:r w:rsidR="00EA6073" w:rsidRPr="00EA6073">
        <w:rPr>
          <w:rFonts w:cs="Arial"/>
          <w:noProof/>
        </w:rPr>
        <w:t>(Department for Education, 2013)</w:t>
      </w:r>
      <w:r w:rsidR="00EA6073">
        <w:rPr>
          <w:rFonts w:cs="Arial"/>
        </w:rPr>
        <w:fldChar w:fldCharType="end"/>
      </w:r>
      <w:r w:rsidRPr="00D622BE">
        <w:rPr>
          <w:rFonts w:cs="Arial"/>
        </w:rPr>
        <w:t>. Aktivitas jasmani diciptakan untuk mempengaruhi potensi yang ada pada diri peserta didik dalam pembelajaran pendidikan jasmani di sekolah mulai dari jenjang pendidikan usia dini sampai pendidikan menengah. Melalui pembelajaran pendidikan jasmani, siswa akan memperoleh pengalaman yang erat kaitannya dengan pribadi yang menyenangkan, kreatif inovatif, keterampilan gerak, kesegaran jasmani dan pola hidup sehat. Pembelajaran pendidikan jasmani adalah belajar keterampilan gerak dimana gerak manusia dimanipulasi dalam bentuk kegiatan fisik seperti: melalui permainan dan olahraga, yang di dalamnya terkandung nilai-nil</w:t>
      </w:r>
      <w:r w:rsidR="00EA6073">
        <w:rPr>
          <w:rFonts w:cs="Arial"/>
        </w:rPr>
        <w:t>ai, sikap dan perilaku positif</w:t>
      </w:r>
      <w:r w:rsidR="00EA6073">
        <w:rPr>
          <w:rFonts w:cs="Arial"/>
        </w:rPr>
        <w:fldChar w:fldCharType="begin" w:fldLock="1"/>
      </w:r>
      <w:r w:rsidR="00EA6073">
        <w:rPr>
          <w:rFonts w:cs="Arial"/>
        </w:rPr>
        <w:instrText>ADDIN CSL_CITATION {"citationItems":[{"id":"ITEM-1","itemData":{"DOI":"10.4324/9781315042466","abstract":"The definitive source for the groundbreaking ideas of the \"Spectrum of Teaching Styles\" introduced by Mosston and Ashworth and developed during 35 years in the field. This book offers teachers a foundation for understanding the decision-making structures that exist in all teaching/learning environments and for recognizing the variables that increase effectiveness while teaching physical education. In this thoroughly revised and streamlined edition, all chapters have been updated to include hundreds of real-world examples, concise charts, practical forms, and concrete suggestions for \"deliberate teaching\" so that teachers can understand their classrooms' flow of events, analyze decision structures, implement adjustments that are appropriate for particular classroom situations, and deliberately combine styles to achieve effective variations. As in prior editions, individual chapters describe the anatomy of the decision structure as it relates to teachers and learners, the objectives (O-T-L-O) of each style, and the application of each style to various activities and educational goals. For physical education teachers.","author":[{"dropping-particle":"","family":"Bailey","given":"Richard","non-dropping-particle":"","parse-names":false,"suffix":""}],"container-title":"Teaching Physical Education","id":"ITEM-1","issued":{"date-parts":[["2014"]]},"title":"Teaching Physical Education","type":"book"},"uris":["http://www.mendeley.com/documents/?uuid=79c97e28-8aa0-4c65-b0a7-b7dd6fc0119c","http://www.mendeley.com/documents/?uuid=1aaafb71-aae7-40cc-b523-94d9da0f440c"]}],"mendeley":{"formattedCitation":"(Bailey, 2014)","plainTextFormattedCitation":"(Bailey, 2014)","previouslyFormattedCitation":"(Bailey, 2014)"},"properties":{"noteIndex":0},"schema":"https://github.com/citation-style-language/schema/raw/master/csl-citation.json"}</w:instrText>
      </w:r>
      <w:r w:rsidR="00EA6073">
        <w:rPr>
          <w:rFonts w:cs="Arial"/>
        </w:rPr>
        <w:fldChar w:fldCharType="separate"/>
      </w:r>
      <w:r w:rsidR="00EA6073" w:rsidRPr="00EA6073">
        <w:rPr>
          <w:rFonts w:cs="Arial"/>
          <w:noProof/>
        </w:rPr>
        <w:t>(Bailey, 2014)</w:t>
      </w:r>
      <w:r w:rsidR="00EA6073">
        <w:rPr>
          <w:rFonts w:cs="Arial"/>
        </w:rPr>
        <w:fldChar w:fldCharType="end"/>
      </w:r>
      <w:r w:rsidR="00EA6073">
        <w:rPr>
          <w:rFonts w:cs="Arial"/>
        </w:rPr>
        <w:t>.</w:t>
      </w:r>
    </w:p>
    <w:p w:rsidR="006B5D5F" w:rsidRDefault="00D622BE" w:rsidP="006B5D5F">
      <w:pPr>
        <w:pStyle w:val="Heading4"/>
        <w:spacing w:line="240" w:lineRule="auto"/>
        <w:ind w:firstLine="544"/>
        <w:contextualSpacing/>
        <w:rPr>
          <w:rFonts w:cs="Arial"/>
        </w:rPr>
      </w:pPr>
      <w:r w:rsidRPr="006B5D5F">
        <w:rPr>
          <w:rFonts w:cs="Arial"/>
        </w:rPr>
        <w:t>Pelajaran pendidikan jasmani, olahraga dan kesehatan diperlukan di semua jenjang pendidikan terutama sekolah dasar karena pada masa usia sekolah dasar, pertumbuhan dan perkembangan anak disebut sebagai usia emas. Usia sekolah dasar merupakan masa-masa pertumbuhan fisik serta gerak yang memegang peranan penting dalam pembentukan individu yang berkualitas. Kurikulum pendidikan jasmani sekolah dasar memiliki ciri-ciri keterampilan dari beberapa cabang olahraga. Keterampilan dasar teknik olahraga tidak akan dapat dikuasai apabila belum meng</w:t>
      </w:r>
      <w:r w:rsidR="00EA6073">
        <w:rPr>
          <w:rFonts w:cs="Arial"/>
        </w:rPr>
        <w:t xml:space="preserve">uasai keterampilan gerak dasar </w:t>
      </w:r>
      <w:r w:rsidR="00EA6073">
        <w:rPr>
          <w:rFonts w:cs="Arial"/>
        </w:rPr>
        <w:fldChar w:fldCharType="begin" w:fldLock="1"/>
      </w:r>
      <w:r w:rsidR="00EA6073">
        <w:rPr>
          <w:rFonts w:cs="Arial"/>
        </w:rPr>
        <w:instrText>ADDIN CSL_CITATION {"citationItems":[{"id":"ITEM-1","itemData":{"DOI":"10.1080/17461391.2012.738712","ISSN":"17461391","abstract":"In sports, reaction time and anticipatory skill are critical aspects of perceptual abilities. To date, no study has compared reaction time and anticipatory skill of athletes from open and closed skill-dominated sport. Accordingly, the present study investigated whether a difference exists in sensory-cognitive skills between these two different sport domains. Eleven volleyball players and 11 sprinters participated in this experiment. Reaction time and anticipatory skill of both groups were recorded by a custom-made software called SART (speed anticipation and reaction time test). This software consists of six sensory-cognitive tests that evaluate visual choice reaction time, visual complex choice reaction time, auditory choice reaction time, auditory complex choice reaction time, and anticipatory skill of the high speed and low speed of the ball. For each variable, an independent t-test was performed. Results suggested that sprinters were better in both auditory reaction times (P&lt;0.001 for both tests) and volleyball players were better in both anticipatory skill tests (P = 0.007 and P = 0.04 for anticipatory skill of the high speed and low speed of the ball, respectively). However, no significant differences were found in both visual choice reaction time tests (P &gt; 0.05 for both visual reaction time tests). It is concluded that athletes have greater sensory-cognitive skills related to their specific sport domain either open or closed. © 2013 Copyright European College of Sport Science.","author":[{"dropping-particle":"","family":"Nuri","given":"Leila","non-dropping-particle":"","parse-names":false,"suffix":""},{"dropping-particle":"","family":"Shadmehr","given":"Azadeh","non-dropping-particle":"","parse-names":false,"suffix":""},{"dropping-particle":"","family":"Ghotbi","given":"Nastaran","non-dropping-particle":"","parse-names":false,"suffix":""},{"dropping-particle":"","family":"Attarbashi Moghadam","given":"Behrouz","non-dropping-particle":"","parse-names":false,"suffix":""}],"container-title":"European Journal of Sport Science","id":"ITEM-1","issued":{"date-parts":[["2013"]]},"title":"Reaction time and anticipatory skill of athletes in open and closed skill-dominated sport","type":"article-journal"},"uris":["http://www.mendeley.com/documents/?uuid=49457463-2a21-4c57-b0fb-7b50f1adbf9d","http://www.mendeley.com/documents/?uuid=d86e6d21-77a7-4d4a-95a2-10c21a96da02"]}],"mendeley":{"formattedCitation":"(Nuri, Shadmehr, Ghotbi, &amp; Attarbashi Moghadam, 2013)","plainTextFormattedCitation":"(Nuri, Shadmehr, Ghotbi, &amp; Attarbashi Moghadam, 2013)","previouslyFormattedCitation":"(Nuri, Shadmehr, Ghotbi, &amp; Attarbashi Moghadam, 2013)"},"properties":{"noteIndex":0},"schema":"https://github.com/citation-style-language/schema/raw/master/csl-citation.json"}</w:instrText>
      </w:r>
      <w:r w:rsidR="00EA6073">
        <w:rPr>
          <w:rFonts w:cs="Arial"/>
        </w:rPr>
        <w:fldChar w:fldCharType="separate"/>
      </w:r>
      <w:r w:rsidR="00EA6073" w:rsidRPr="00EA6073">
        <w:rPr>
          <w:rFonts w:cs="Arial"/>
          <w:noProof/>
        </w:rPr>
        <w:t>(Nuri, Shadmehr, Ghotbi, &amp; Attarbashi Moghadam, 2013)</w:t>
      </w:r>
      <w:r w:rsidR="00EA6073">
        <w:rPr>
          <w:rFonts w:cs="Arial"/>
        </w:rPr>
        <w:fldChar w:fldCharType="end"/>
      </w:r>
      <w:r w:rsidRPr="004D57A1">
        <w:rPr>
          <w:rFonts w:cs="Arial"/>
          <w:color w:val="000000" w:themeColor="text1"/>
        </w:rPr>
        <w:t xml:space="preserve">. </w:t>
      </w:r>
      <w:r w:rsidRPr="006B5D5F">
        <w:rPr>
          <w:rFonts w:cs="Arial"/>
        </w:rPr>
        <w:t>Keterampilan gerak dasar dapat dibagi menjadi beberapa macam, meliputi: gerak dasar lokomotor, non lokomotor, dan manipulasi.</w:t>
      </w:r>
      <w:r w:rsidRPr="006B5D5F">
        <w:t xml:space="preserve"> </w:t>
      </w:r>
      <w:r w:rsidR="00EA6073">
        <w:rPr>
          <w:rFonts w:cs="Arial"/>
        </w:rPr>
        <w:t>S</w:t>
      </w:r>
      <w:r w:rsidRPr="006B5D5F">
        <w:rPr>
          <w:rFonts w:cs="Arial"/>
        </w:rPr>
        <w:t>alah satu tujuan pelaksanaan pendidikan jasmani, olahraga dan kesehatan di sekolah dasar adalah meningkatkan kemampuan dan keterampilan gerak dasar</w:t>
      </w:r>
      <w:r w:rsidR="00EA6073">
        <w:rPr>
          <w:rFonts w:cs="Arial"/>
        </w:rPr>
        <w:t xml:space="preserve"> </w:t>
      </w:r>
      <w:r w:rsidR="00EA6073">
        <w:rPr>
          <w:rFonts w:cs="Arial"/>
        </w:rPr>
        <w:fldChar w:fldCharType="begin" w:fldLock="1"/>
      </w:r>
      <w:r w:rsidR="00EA6073">
        <w:rPr>
          <w:rFonts w:cs="Arial"/>
        </w:rPr>
        <w:instrText>ADDIN CSL_CITATION {"citationItems":[{"id":"ITEM-1","itemData":{"DOI":"10.1007/978-3-319-67976-1_3","ISSN":"18698441","abstract":"concluded that participation in a pain education workshop prompted a move towards greater homogeneity in beliefs about mechanisms of pain and people with pain. Conversely, after participating in the workshop, therapists had a wider dispersal of scores in the domain of intervention. What occupational therapists and other health care providers believe may strongly influence the range of interventions brought to the treatment encounter (Bates et al 1997). Vrancken (1989, p440) proposed that 'the way the medical community conceptualises what a pain patient is and how he should be treated, exemplifies how the medical community understands pain'. While the studies cited above have served to explore the beliefs and values of occupational therapists related to pain, there is little literature to date regarding how those beliefs translate into specific treatment interventions. It is important to know what treatments occupational therapists endorse in light of emerging research in the field of patient concordance. Marinker (1998), in a discussion of concordance versus compliance, cited studies indicating that when there is congruence between service providers' and service users' beliefs about treatment, concordance is higher. Patient concordance with treatment is inextricably connected with the individual's perception of whether the intervention is relevant, meaningful and likely to be successful (Kotarba and Seidel 1984, Donovan and Blake 1992, Schussler 1992, Yardley and Furnham 1999). The treatment endorsement patterns of both service providers, like occupational therapists, and service users need to be identified and compared. A range of research supports the significant role that congruence and shared beliefs play in the chronic pain experience. A study by Seers and Friedli (1996), comprising 75 people with chronic non-malignant pain, revealed that the physician-client/patient interaction had a significant impact on people seeking help for chronic pain. This study suggested that people' s perceptions of disbelief by physicians were determined to have serious negative consequences. Participants in the study attributed a range of negative effects to physicians' disbelief of their pain. These effects included: growing self-doubt, increasingly unsupportive family members, inaccurate information going to employers, frustration over feeling that the physicians did not listen to them, and the perception that physicians disbelieved their pain. Eccleston et al (1997)…","author":[{"dropping-particle":"","family":"Hojny","given":"Marcin","non-dropping-particle":"","parse-names":false,"suffix":""}],"container-title":"Advanced Structured Materials","id":"ITEM-1","issued":{"date-parts":[["2018"]]},"title":"Aim of the study","type":"chapter"},"uris":["http://www.mendeley.com/documents/?uuid=cbab3bcc-0dbf-4d00-92fd-23c5469e8264","http://www.mendeley.com/documents/?uuid=cbf58265-3af5-47b9-8e5d-8c8c762c8916"]}],"mendeley":{"formattedCitation":"(Hojny, 2018)","plainTextFormattedCitation":"(Hojny, 2018)","previouslyFormattedCitation":"(Hojny, 2018)"},"properties":{"noteIndex":0},"schema":"https://github.com/citation-style-language/schema/raw/master/csl-citation.json"}</w:instrText>
      </w:r>
      <w:r w:rsidR="00EA6073">
        <w:rPr>
          <w:rFonts w:cs="Arial"/>
        </w:rPr>
        <w:fldChar w:fldCharType="separate"/>
      </w:r>
      <w:r w:rsidR="00EA6073" w:rsidRPr="00EA6073">
        <w:rPr>
          <w:rFonts w:cs="Arial"/>
          <w:noProof/>
        </w:rPr>
        <w:t>(Hojny, 2018)</w:t>
      </w:r>
      <w:r w:rsidR="00EA6073">
        <w:rPr>
          <w:rFonts w:cs="Arial"/>
        </w:rPr>
        <w:fldChar w:fldCharType="end"/>
      </w:r>
      <w:r w:rsidRPr="006B5D5F">
        <w:rPr>
          <w:rFonts w:cs="Arial"/>
        </w:rPr>
        <w:t>.</w:t>
      </w:r>
      <w:r w:rsidR="006E3EC7" w:rsidRPr="006E3EC7">
        <w:rPr>
          <w:rFonts w:ascii="Arial" w:hAnsi="Arial" w:cs="Arial"/>
          <w:noProof/>
          <w:lang w:eastAsia="id-ID"/>
        </w:rPr>
        <w:t xml:space="preserve"> </w:t>
      </w:r>
    </w:p>
    <w:p w:rsidR="006B5D5F" w:rsidRDefault="00D622BE" w:rsidP="006B5D5F">
      <w:pPr>
        <w:pStyle w:val="Heading4"/>
        <w:spacing w:line="240" w:lineRule="auto"/>
        <w:ind w:firstLine="544"/>
        <w:contextualSpacing/>
        <w:rPr>
          <w:rFonts w:cs="Arial"/>
        </w:rPr>
      </w:pPr>
      <w:r w:rsidRPr="006B5D5F">
        <w:rPr>
          <w:rFonts w:cs="Arial"/>
        </w:rPr>
        <w:t>Perkembangan gerak dasar anak sekolah dasar dibagi menjadi tiga periode yaitu (1) perkembangan gerak dasar usia 2-7 tahun, (2) fase transisi usia 7-10 tahun, (3) fase spesifikasi usia 10-13 tahun</w:t>
      </w:r>
      <w:r w:rsidR="00EA6073">
        <w:rPr>
          <w:rFonts w:cs="Arial"/>
        </w:rPr>
        <w:t xml:space="preserve"> </w:t>
      </w:r>
      <w:r w:rsidR="00EA6073">
        <w:rPr>
          <w:rFonts w:cs="Arial"/>
        </w:rPr>
        <w:fldChar w:fldCharType="begin" w:fldLock="1"/>
      </w:r>
      <w:r w:rsidR="00EA6073">
        <w:rPr>
          <w:rFonts w:cs="Arial"/>
        </w:rPr>
        <w:instrText>ADDIN CSL_CITATION {"citationItems":[{"id":"ITEM-1","itemData":{"DOI":"10.1016/j.neuron.2015.03.024","ISSN":"10974199","abstract":"Motor cortex is widely believed to underlie the acquisition and execution of motor skills, but its contributions to these processes are not fully understood. One reason is that studies on motor skills often conflate motor cortex's established role in dexterous control with roles in learning and producing task-specific motor sequences. To dissociate these aspects, we developed a motor task for rats that trains spatiotemporally precise movement patterns without requirements for dexterity. Remarkably, motor cortex lesions had no discernible effect on the acquired skills, which were expressed in their distinct pre-lesion forms on the very first day of post-lesion training. Motor cortex lesions prior to training, however, rendered rats unable to acquire the stereotyped motor sequences required for the task. These results suggest a remarkable capacity of subcortical motor circuits to execute learned skills and a previously unappreciated role for motor cortex in \"tutoring\" these circuits during learning. Motor cortex is widely credited with expanding the behavioral repertoire of mammals by enabling the acquisition and execution of new motor skills, but its specific contributions have been difficult to pin down. Using a novel motor skill learning paradigm, Kawai etal. show that motor cortex contributes to learning skills even when it is not required to execute them. This demonstrates a previously unappreciated role for motor cortex in \"tutoring\" subcortical circuits during skill learning.","author":[{"dropping-particle":"","family":"Kawai","given":"Risa","non-dropping-particle":"","parse-names":false,"suffix":""},{"dropping-particle":"","family":"Markman","given":"Timothy","non-dropping-particle":"","parse-names":false,"suffix":""},{"dropping-particle":"","family":"Poddar","given":"Rajesh","non-dropping-particle":"","parse-names":false,"suffix":""},{"dropping-particle":"","family":"Ko","given":"Raymond","non-dropping-particle":"","parse-names":false,"suffix":""},{"dropping-particle":"","family":"Fantana","given":"Antoniu L.","non-dropping-particle":"","parse-names":false,"suffix":""},{"dropping-particle":"","family":"Dhawale","given":"Ashesh K.","non-dropping-particle":"","parse-names":false,"suffix":""},{"dropping-particle":"","family":"Kampff","given":"Adam R.","non-dropping-particle":"","parse-names":false,"suffix":""},{"dropping-particle":"","family":"Ölveczky","given":"Bence P.","non-dropping-particle":"","parse-names":false,"suffix":""}],"container-title":"Neuron","id":"ITEM-1","issued":{"date-parts":[["2015"]]},"title":"Motor Cortex Is Required for Learning but Not for Executing a Motor Skill","type":"article-journal"},"uris":["http://www.mendeley.com/documents/?uuid=7233f443-99e9-4a42-9f05-193c12ac617b","http://www.mendeley.com/documents/?uuid=49fac3be-dd4a-4b4a-9e72-df6612618150"]}],"mendeley":{"formattedCitation":"(Kawai et al., 2015)","plainTextFormattedCitation":"(Kawai et al., 2015)","previouslyFormattedCitation":"(Kawai et al., 2015)"},"properties":{"noteIndex":0},"schema":"https://github.com/citation-style-language/schema/raw/master/csl-citation.json"}</w:instrText>
      </w:r>
      <w:r w:rsidR="00EA6073">
        <w:rPr>
          <w:rFonts w:cs="Arial"/>
        </w:rPr>
        <w:fldChar w:fldCharType="separate"/>
      </w:r>
      <w:r w:rsidR="00EA6073" w:rsidRPr="00EA6073">
        <w:rPr>
          <w:rFonts w:cs="Arial"/>
          <w:noProof/>
        </w:rPr>
        <w:t>(Kawai et al., 2015)</w:t>
      </w:r>
      <w:r w:rsidR="00EA6073">
        <w:rPr>
          <w:rFonts w:cs="Arial"/>
        </w:rPr>
        <w:fldChar w:fldCharType="end"/>
      </w:r>
      <w:r w:rsidRPr="006B5D5F">
        <w:rPr>
          <w:rFonts w:cs="Arial"/>
        </w:rPr>
        <w:t>. Pada fase transisi usia 7-10 tahun ini, anak secara individu mulai mengkombinasikan dan menerapkan gerak dasar yang terkait dengan penampilan dalam aktivitas jasmani. Gerakan yang dilakukan berisikan usur-unsur yang sama, seperti gerak dasar, tetapi dalam pelaksanaannya lebih akurat dan terkendali. Selama periode ini anak terlibat secara aktif dalam pencarian dan pengkombinasian berbagai macam pola gerak dan keterampilan. Pada umumnya kemampuan mereka akan sangat cepat meningkat.</w:t>
      </w:r>
    </w:p>
    <w:p w:rsidR="006B5D5F" w:rsidRDefault="00D622BE" w:rsidP="006B5D5F">
      <w:pPr>
        <w:pStyle w:val="Heading4"/>
        <w:spacing w:line="240" w:lineRule="auto"/>
        <w:ind w:firstLine="544"/>
        <w:contextualSpacing/>
        <w:rPr>
          <w:rFonts w:cs="Arial"/>
        </w:rPr>
      </w:pPr>
      <w:r w:rsidRPr="006B5D5F">
        <w:rPr>
          <w:rFonts w:cs="Arial"/>
        </w:rPr>
        <w:t>Kurikulum adalah alat untuk mencapai tujuan pendidikan. Karena tujuan pendidikan itu sangat diwarnai oleh falsafah/pandangan hidup yang dianut suatu bangsa, maka kurikulum yang dikembangkan juga akan mencerminkan falsafah/pandangan hidup tersebut</w:t>
      </w:r>
      <w:r w:rsidR="00EA6073">
        <w:rPr>
          <w:rFonts w:cs="Arial"/>
        </w:rPr>
        <w:t xml:space="preserve"> </w:t>
      </w:r>
      <w:r w:rsidR="00EA6073">
        <w:rPr>
          <w:rFonts w:cs="Arial"/>
        </w:rPr>
        <w:fldChar w:fldCharType="begin" w:fldLock="1"/>
      </w:r>
      <w:r w:rsidR="00A80ED8">
        <w:rPr>
          <w:rFonts w:cs="Arial"/>
        </w:rPr>
        <w:instrText>ADDIN CSL_CITATION {"citationItems":[{"id":"ITEM-1","itemData":{"abstract":"A high-quality science education provides the foundations for understanding the world through the specific disciplines of biology, chemistry and physics. Science has changed our lives and is vital to the world’s future prosperity, and all pupils should be taught essential aspects of the knowledge, methods, processes and uses of science. Through building up a body of key foundational knowledge and concepts, pupils should be encouraged to recognise the power of rational explanation and develop a sense of excitement and curiosity about natural phenomena. They should be encouraged to understand how science can be used to explain what is occurring, predict how things will behave, and analys causes.","author":[{"dropping-particle":"","family":"Department for Education","given":"","non-dropping-particle":"","parse-names":false,"suffix":""}],"container-title":"National Curriculum","id":"ITEM-1","issued":{"date-parts":[["2014"]]},"title":"Science programmes of study : key stage 4 National curriculum in England","type":"article-journal"},"uris":["http://www.mendeley.com/documents/?uuid=decd31ba-2a0b-4b68-9003-d7cfb00f4b79","http://www.mendeley.com/documents/?uuid=44152a74-9ed8-4c74-8dcf-7ebf000b88d1"]}],"mendeley":{"formattedCitation":"(Department for Education, 2014)","plainTextFormattedCitation":"(Department for Education, 2014)","previouslyFormattedCitation":"(Department for Education, 2014)"},"properties":{"noteIndex":0},"schema":"https://github.com/citation-style-language/schema/raw/master/csl-citation.json"}</w:instrText>
      </w:r>
      <w:r w:rsidR="00EA6073">
        <w:rPr>
          <w:rFonts w:cs="Arial"/>
        </w:rPr>
        <w:fldChar w:fldCharType="separate"/>
      </w:r>
      <w:r w:rsidR="00EA6073" w:rsidRPr="00EA6073">
        <w:rPr>
          <w:rFonts w:cs="Arial"/>
          <w:noProof/>
        </w:rPr>
        <w:t>(Department for Education, 2014)</w:t>
      </w:r>
      <w:r w:rsidR="00EA6073">
        <w:rPr>
          <w:rFonts w:cs="Arial"/>
        </w:rPr>
        <w:fldChar w:fldCharType="end"/>
      </w:r>
      <w:r w:rsidRPr="006B5D5F">
        <w:rPr>
          <w:rFonts w:cs="Arial"/>
        </w:rPr>
        <w:t>. Pada kurikulum 2013 SD/MI, kurikulum yang digunakan adalah dengan pendekatan pembelajaran tematik dari kelas I-VI. Pembelajaran tematik sendiri merupakan pendekatan pembelajaran yang mengintegrasikan berbagai kompetensi dari berbagai mata pelajaran ke dalam berbagai tema. Dengan demikian pembelajarannya memberikan makna yang utuh kepada peserta didik seperti yang tercermin pada berbagai tema yang tersedia.</w:t>
      </w:r>
    </w:p>
    <w:p w:rsidR="006B5D5F" w:rsidRDefault="00D622BE" w:rsidP="006B5D5F">
      <w:pPr>
        <w:pStyle w:val="Heading4"/>
        <w:spacing w:line="240" w:lineRule="auto"/>
        <w:ind w:firstLine="544"/>
        <w:contextualSpacing/>
        <w:rPr>
          <w:rFonts w:cs="Arial"/>
        </w:rPr>
      </w:pPr>
      <w:r w:rsidRPr="006B5D5F">
        <w:rPr>
          <w:rFonts w:cs="Arial"/>
        </w:rPr>
        <w:t>Tema “Permainan Tradisional” adalah salah satu tema yang terdapat pada kelas III SD pada kurikulum 2013. Jika dijabarkan tema ini menyajikan permainan-permainan dan olahraga dalam penyampaian materi dalam proses pembelajaran. Kompetensi dasar gerak dasar lokomotor dan manipulatif pada kurikulum 2013 SD menyatakan bahwa “Mempraktikkan berbagai macam gerak dasar lokomotor, non lokomotor dan manipulatif sesuai dengan konsep tubuh, ruang, usaha, dan keterhubungan dalam berbagai bentuk permainan sederhana dan atau tradisional”.</w:t>
      </w:r>
    </w:p>
    <w:p w:rsidR="006B5D5F" w:rsidRDefault="00D622BE" w:rsidP="006B5D5F">
      <w:pPr>
        <w:pStyle w:val="Heading4"/>
        <w:spacing w:line="240" w:lineRule="auto"/>
        <w:ind w:firstLine="544"/>
        <w:contextualSpacing/>
        <w:rPr>
          <w:rFonts w:cs="Arial"/>
        </w:rPr>
      </w:pPr>
      <w:r w:rsidRPr="006B5D5F">
        <w:rPr>
          <w:rFonts w:cs="Arial"/>
        </w:rPr>
        <w:t>Pada usia kelas III SD (9-10 tahun) merupakan usia anak suka bermain, menyatakan bahwa masa anak-anak merupakan suatu masa perkembangan dimana anak-anak mengalami perubahan yang cepat, pada masa ini mereka mulai sekolah dan kebanyak anak-anak sudah mempelajari mengenai sesuatu yang berhubungan dengan manusia, serta mulai mempelajari berbagai keterampilan praktis</w:t>
      </w:r>
      <w:r w:rsidR="00A80ED8">
        <w:rPr>
          <w:rFonts w:cs="Arial"/>
        </w:rPr>
        <w:t xml:space="preserve"> </w:t>
      </w:r>
      <w:r w:rsidR="00A80ED8">
        <w:rPr>
          <w:rFonts w:cs="Arial"/>
        </w:rPr>
        <w:fldChar w:fldCharType="begin" w:fldLock="1"/>
      </w:r>
      <w:r w:rsidR="00A80ED8">
        <w:rPr>
          <w:rFonts w:cs="Arial"/>
        </w:rPr>
        <w:instrText>ADDIN CSL_CITATION {"citationItems":[{"id":"ITEM-1","itemData":{"DOI":"10.1007/978-3-319-42875-8_3","ISSN":"21915776","abstract":"If you are following the OCR specification for Child Development, these stimulating resources offer the perfect match to the specification. The course is endorsed by Edexcel and written by experienced examiners so you can be confident you are teaching the","author":[{"dropping-particle":"","family":"Madej","given":"Krystina","non-dropping-particle":"","parse-names":false,"suffix":""}],"container-title":"SpringerBriefs in Computer Science","id":"ITEM-1","issued":{"date-parts":[["2016"]]},"title":"Child development","type":"chapter"},"uris":["http://www.mendeley.com/documents/?uuid=190be7bb-4d01-483e-881a-bf7874e20a68","http://www.mendeley.com/documents/?uuid=3b7e017d-ef99-4807-b401-5ded2debed5c"]}],"mendeley":{"formattedCitation":"(Madej, 2016a)","plainTextFormattedCitation":"(Madej, 2016a)","previouslyFormattedCitation":"(Madej, 2016a)"},"properties":{"noteIndex":0},"schema":"https://github.com/citation-style-language/schema/raw/master/csl-citation.json"}</w:instrText>
      </w:r>
      <w:r w:rsidR="00A80ED8">
        <w:rPr>
          <w:rFonts w:cs="Arial"/>
        </w:rPr>
        <w:fldChar w:fldCharType="separate"/>
      </w:r>
      <w:r w:rsidR="00A80ED8" w:rsidRPr="00A80ED8">
        <w:rPr>
          <w:rFonts w:cs="Arial"/>
          <w:noProof/>
        </w:rPr>
        <w:t>(Madej, 2016a)</w:t>
      </w:r>
      <w:r w:rsidR="00A80ED8">
        <w:rPr>
          <w:rFonts w:cs="Arial"/>
        </w:rPr>
        <w:fldChar w:fldCharType="end"/>
      </w:r>
      <w:r w:rsidRPr="006B5D5F">
        <w:rPr>
          <w:rFonts w:cs="Arial"/>
        </w:rPr>
        <w:t xml:space="preserve">. Jadi kegiatan pemberian materi gerak dasar lokomotor dan manipulatif sebaiknya diberikan melalui permainan. Bermain merupakan aktivitas yang </w:t>
      </w:r>
      <w:r w:rsidRPr="006B5D5F">
        <w:rPr>
          <w:rFonts w:cs="Arial"/>
        </w:rPr>
        <w:lastRenderedPageBreak/>
        <w:t>menggunakan gerak fisik, yang penerapannya merupakan aktualisasi potensi, sikap dan perilaku anak</w:t>
      </w:r>
      <w:r w:rsidR="00A80ED8">
        <w:rPr>
          <w:rFonts w:cs="Arial"/>
        </w:rPr>
        <w:t xml:space="preserve"> </w:t>
      </w:r>
      <w:r w:rsidR="00A80ED8">
        <w:rPr>
          <w:rFonts w:cs="Arial"/>
        </w:rPr>
        <w:fldChar w:fldCharType="begin" w:fldLock="1"/>
      </w:r>
      <w:r w:rsidR="00A80ED8">
        <w:rPr>
          <w:rFonts w:cs="Arial"/>
        </w:rPr>
        <w:instrText>ADDIN CSL_CITATION {"citationItems":[{"id":"ITEM-1","itemData":{"DOI":"10.1007/978-3-319-42875-8_2","ISSN":"21915776","abstract":"The role of play in human development is controversial. In some quarters, it is viewed as indispensable to children's healthy development and education, while in others it is marginalized as a topic worthy of study and of questionable functional significance. I suggest that differences in the ways in which play is defined and the ways in which function is conceptualized has led to this misunderstanding. I outline the ontogeny of social, object, locomotor, and pretend play and possible functions. I also make educational policy and research recommendations for the role of play in children's lives.","author":[{"dropping-particle":"","family":"Madej","given":"Krystina","non-dropping-particle":"","parse-names":false,"suffix":""}],"container-title":"SpringerBriefs in Computer Science","id":"ITEM-1","issued":{"date-parts":[["2016"]]},"title":"Play","type":"chapter"},"uris":["http://www.mendeley.com/documents/?uuid=d5bae003-a42c-4733-978e-6c0387ffebd6","http://www.mendeley.com/documents/?uuid=e05fa203-2b71-4c19-b80d-474d84b10685"]}],"mendeley":{"formattedCitation":"(Madej, 2016b)","plainTextFormattedCitation":"(Madej, 2016b)","previouslyFormattedCitation":"(Madej, 2016b)"},"properties":{"noteIndex":0},"schema":"https://github.com/citation-style-language/schema/raw/master/csl-citation.json"}</w:instrText>
      </w:r>
      <w:r w:rsidR="00A80ED8">
        <w:rPr>
          <w:rFonts w:cs="Arial"/>
        </w:rPr>
        <w:fldChar w:fldCharType="separate"/>
      </w:r>
      <w:r w:rsidR="00A80ED8" w:rsidRPr="00A80ED8">
        <w:rPr>
          <w:rFonts w:cs="Arial"/>
          <w:noProof/>
        </w:rPr>
        <w:t>(Madej, 2016b)</w:t>
      </w:r>
      <w:r w:rsidR="00A80ED8">
        <w:rPr>
          <w:rFonts w:cs="Arial"/>
        </w:rPr>
        <w:fldChar w:fldCharType="end"/>
      </w:r>
      <w:r w:rsidRPr="006B5D5F">
        <w:rPr>
          <w:rFonts w:cs="Arial"/>
        </w:rPr>
        <w:t>. Dalam hal ini mata pelajaran pendidikan jasmani, olahraga dan kesehatan yang didalamnya terdapat materi tentang permainan, berperan untuk memberikan fasilitas bagi siswa untuk melakukan permainan-permainan yang dapat melatih keterampilan gerak dasar lokomotor dan manipulatif menjadi lebih baik.</w:t>
      </w:r>
    </w:p>
    <w:p w:rsidR="006B5D5F" w:rsidRDefault="006B5D5F" w:rsidP="006B5D5F">
      <w:pPr>
        <w:pStyle w:val="Heading4"/>
        <w:spacing w:line="240" w:lineRule="auto"/>
        <w:ind w:firstLine="544"/>
        <w:contextualSpacing/>
        <w:rPr>
          <w:rFonts w:cs="Arial"/>
        </w:rPr>
      </w:pPr>
      <w:r w:rsidRPr="006B5D5F">
        <w:rPr>
          <w:rFonts w:cs="Arial"/>
        </w:rPr>
        <w:t>Selain itu penyampaian materi melalui permainan pada mata pelajaran pendidikan jasmani, olahraga dan kesehatan diharapkan dapat membantu menumbuhkan rasa antusias dan senang terhadap materi gerak dasar. Berdasarkan penjelasan tersebut dapat disimpulkan bahwa olahraga dapat menumbuhkan rasa senang jika dilakukan dengan bermain.</w:t>
      </w:r>
    </w:p>
    <w:p w:rsidR="006B5D5F" w:rsidRDefault="006B5D5F" w:rsidP="006B5D5F">
      <w:pPr>
        <w:pStyle w:val="Heading4"/>
        <w:spacing w:line="240" w:lineRule="auto"/>
        <w:ind w:firstLine="544"/>
        <w:contextualSpacing/>
        <w:rPr>
          <w:rFonts w:cs="Arial"/>
        </w:rPr>
      </w:pPr>
      <w:r w:rsidRPr="006B5D5F">
        <w:rPr>
          <w:rFonts w:cs="Arial"/>
        </w:rPr>
        <w:t xml:space="preserve">Bermain merupakan kegiatan yang mempunyai nilai praktis, artinya bermain digunakan sebagai media untuk meningkatkan keterampilan dan kemampuan tertentu pada anak. Bermain dapat digunakan untuk media melatih gerak dasar lokomotor dan manipulatif. </w:t>
      </w:r>
      <w:r w:rsidR="00A80ED8">
        <w:rPr>
          <w:rFonts w:cs="Arial"/>
        </w:rPr>
        <w:t>P</w:t>
      </w:r>
      <w:r w:rsidRPr="006B5D5F">
        <w:rPr>
          <w:rFonts w:cs="Arial"/>
        </w:rPr>
        <w:t>erkembangan pendidikan untuk mengajar pendidikan jasmani dipandang sebagai sarana untuk memperkuat dan menerapkan hasil pembelajaran berdasarkan keterampilan kecakapan berpikir</w:t>
      </w:r>
      <w:r w:rsidR="00A80ED8">
        <w:rPr>
          <w:rFonts w:cs="Arial"/>
        </w:rPr>
        <w:t xml:space="preserve"> </w:t>
      </w:r>
      <w:r w:rsidR="00A80ED8">
        <w:rPr>
          <w:rFonts w:cs="Arial"/>
        </w:rPr>
        <w:fldChar w:fldCharType="begin" w:fldLock="1"/>
      </w:r>
      <w:r w:rsidR="00A80ED8">
        <w:rPr>
          <w:rFonts w:cs="Arial"/>
        </w:rPr>
        <w:instrText>ADDIN CSL_CITATION {"citationItems":[{"id":"ITEM-1","itemData":{"DOI":"10.1016/j.sbspro.2012.06.654","ISSN":"18770428","abstract":"Although the physical world is three-dimensional, mostly we prefer to use two-dimensional media in education. The combination of AR technology with the educational content creates new type of automated applications and acts to enhance the effectiveness and attractiveness of teaching and learning for students in real life scenarios. Augmented Reality is a new medium, combining aspects from ubiquitous computing, tangible computing, and social computing. This medium offers unique affordances, combining physical and virtual worlds, with continuous and implicit user control of the point of view and interactivity. This paper provides an introduction to the technology of augmented reality (AR) and its possibilities for education. Key technologies and methods are discussed within the context of education.","author":[{"dropping-particle":"","family":"Kesim","given":"Mehmet","non-dropping-particle":"","parse-names":false,"suffix":""},{"dropping-particle":"","family":"Ozarslan","given":"Yasin","non-dropping-particle":"","parse-names":false,"suffix":""}],"container-title":"Procedia - Social and Behavioral Sciences","id":"ITEM-1","issued":{"date-parts":[["2012"]]},"title":"Augmented Reality in Education: Current Technologies and the Potential for Education","type":"article-journal"},"uris":["http://www.mendeley.com/documents/?uuid=ae42febc-b721-4353-b88f-4124a0c82f1e","http://www.mendeley.com/documents/?uuid=695a7c71-64e1-4f6a-81fc-3090ac4b71e6"]}],"mendeley":{"formattedCitation":"(Kesim &amp; Ozarslan, 2012)","plainTextFormattedCitation":"(Kesim &amp; Ozarslan, 2012)","previouslyFormattedCitation":"(Kesim &amp; Ozarslan, 2012)"},"properties":{"noteIndex":0},"schema":"https://github.com/citation-style-language/schema/raw/master/csl-citation.json"}</w:instrText>
      </w:r>
      <w:r w:rsidR="00A80ED8">
        <w:rPr>
          <w:rFonts w:cs="Arial"/>
        </w:rPr>
        <w:fldChar w:fldCharType="separate"/>
      </w:r>
      <w:r w:rsidR="00A80ED8" w:rsidRPr="00A80ED8">
        <w:rPr>
          <w:rFonts w:cs="Arial"/>
          <w:noProof/>
        </w:rPr>
        <w:t>(Kesim &amp; Ozarslan, 2012)</w:t>
      </w:r>
      <w:r w:rsidR="00A80ED8">
        <w:rPr>
          <w:rFonts w:cs="Arial"/>
        </w:rPr>
        <w:fldChar w:fldCharType="end"/>
      </w:r>
      <w:r w:rsidRPr="006B5D5F">
        <w:rPr>
          <w:rFonts w:cs="Arial"/>
        </w:rPr>
        <w:t>. Sedangkan pengajaran pendidikan jasmani dan permainan telah dibentuk melalui sejarah, sosial, budaya, lingkungan dan politik yang saling berkaitan</w:t>
      </w:r>
      <w:r w:rsidR="00A80ED8">
        <w:rPr>
          <w:rFonts w:cs="Arial"/>
        </w:rPr>
        <w:fldChar w:fldCharType="begin" w:fldLock="1"/>
      </w:r>
      <w:r w:rsidR="00CF32A6">
        <w:rPr>
          <w:rFonts w:cs="Arial"/>
        </w:rPr>
        <w:instrText>ADDIN CSL_CITATION {"citationItems":[{"id":"ITEM-1","itemData":{"DOI":"10.7326/0003-4819-114-9-815_2","ISSN":"0003-4819","abstract":"\"The 11th edition of the pre-eminent textbook on physical examination contains foundational content to guide students' approaches to history taking, interviewing, and other core assessment concepts, as well as fully illustrated, step-by-step techniques that outline correct performance of physical examination. The comprehensive, evidence-based content is intended for medical students, high-level nursing education and practice markets, as well as related health professions such as physician assistants. New for this edition: More than 200 new and revised photographs and drawings have been added to better illustrate key points in the accompanying text. Design and layout has been revised to increase discoverability of core material and special assessment tips. Techniques of interviewing chapter has been reorganized to provide clearer insights into the skills of empathic listening. Each chapter has been reviewed and revised to align with new evidence from sources such as Healthy People 2020, U.S. Preventive Services Task Force, Centers for Disease Control and Prevention, and American Cancer Society's Breast Cancer Facts and Figures. Highlights include: New information on guidelines for assessing obesity and nutrition, and managing acute and chronic pain. Extensive updates on the challenges of screening for cardiovascular disease, special populations at risk, steps for risk factor screening, and how to promote lifestyle and risk factor modification. New evidence-based guidelines on tobacco cessation, adult immunizations for influenza and pneumonia, hypertension screening, and risk-factor screening for dyslipidemia and metabolic syndrome. Updates on risk assessment for breast cancer, the Gail and Claus screening models, and BRCA1 and 2 mutations, as well as recommendations about mammography and clinical and self-breast examination. New screening guidelines for peripheral vascular disease, pap smears, prostate cancer, colon cancer, and risk factors for stroke and new information on sexually transmitted infections. Stronger focus on health promotion for children and adolescents. Expanded discussions of the functional assessment of older adults and minimizing risk of falls. New information on personality disorders and major mental health issues with significant emphasis on differentiating delirium, dementia, and depression\"--Provided by publisher.","container-title":"Annals of Internal Medicine","id":"ITEM-1","issued":{"date-parts":[["2013"]]},"title":"A Guide to Physical Examination and History Taking.","type":"article-journal"},"uris":["http://www.mendeley.com/documents/?uuid=ba476fa9-b61b-4976-bad6-7e9cb5a3bbac","http://www.mendeley.com/documents/?uuid=cacc10c8-fbd7-49c3-a298-ebfdda9f230f"]}],"mendeley":{"formattedCitation":"(“A Guide to Physical Examination and History Taking.,” 2013)","plainTextFormattedCitation":"(“A Guide to Physical Examination and History Taking.,” 2013)","previouslyFormattedCitation":"(“A Guide to Physical Examination and History Taking.,” 2013)"},"properties":{"noteIndex":0},"schema":"https://github.com/citation-style-language/schema/raw/master/csl-citation.json"}</w:instrText>
      </w:r>
      <w:r w:rsidR="00A80ED8">
        <w:rPr>
          <w:rFonts w:cs="Arial"/>
        </w:rPr>
        <w:fldChar w:fldCharType="separate"/>
      </w:r>
      <w:r w:rsidR="00A80ED8" w:rsidRPr="00A80ED8">
        <w:rPr>
          <w:rFonts w:cs="Arial"/>
          <w:noProof/>
        </w:rPr>
        <w:t>(“A Guide to Physical Examination and History Taking.,” 2013)</w:t>
      </w:r>
      <w:r w:rsidR="00A80ED8">
        <w:rPr>
          <w:rFonts w:cs="Arial"/>
        </w:rPr>
        <w:fldChar w:fldCharType="end"/>
      </w:r>
      <w:r w:rsidRPr="006B5D5F">
        <w:rPr>
          <w:rFonts w:cs="Arial"/>
        </w:rPr>
        <w:t>. Perkembangan mengajar pendidikan jasmani pada anak-anak terlihat sebagai alat penerapan, penguatan dan penerapan variasi dari gerak dasar dan keterampilan olahraga. Hal ini dapat disimpulkan bahwa kegiatan mengajar pendidikan jasmani, olahraga dan kesehatan yang bertujuan meningkatkan keterampilan dan kemampuan tertentu dapat diberikan melalui model permainan.</w:t>
      </w:r>
    </w:p>
    <w:p w:rsidR="006B5D5F" w:rsidRDefault="006B5D5F" w:rsidP="006B5D5F">
      <w:pPr>
        <w:pStyle w:val="Heading4"/>
        <w:spacing w:line="240" w:lineRule="auto"/>
        <w:ind w:firstLine="544"/>
        <w:contextualSpacing/>
        <w:rPr>
          <w:rFonts w:cs="Arial"/>
        </w:rPr>
      </w:pPr>
      <w:r w:rsidRPr="006B5D5F">
        <w:rPr>
          <w:rFonts w:cs="Arial"/>
        </w:rPr>
        <w:t>Berdasarkan analisis kebutuhan yang dilakukan peneliti melalui observasi dan memberikan kuesioner kepada pendidik Pendidikan Jasmani, Olahraga dan Kesehatan SDN Bareng 3 Kota Malang dan 30 siswa kelas III SDN Bareng 3 Kota Malang, diperoleh data bahwa 13 siswa atau 43,33% menyatakan sulit mempraktikkan gerak dasar lokomotor. Sebanyak 15 siswa atau 50% menyatakan sulit mempraktikkan gerak dasar manipulatif, sebanyak 19 siswa atau 63,33% menyatakan bahwa permainan yang diberikan oleh guru kurang bervariasi, sebanyak 26 siswa atau 86,66% menyatakan jenuh dengan materi yang diberikan oleh guru, sebanyak 30 siswa atau 100% menyatakan membutuhkan pengembangan permainan untuk pembelajaran gerak dasar lokomotor dan manipulatif, sebanyak 30 siswa atau 100% menyatakan setuju dengan adanya pengembangan permainan gerak dasar lokomotor dan manipulatif.</w:t>
      </w:r>
    </w:p>
    <w:p w:rsidR="006B5D5F" w:rsidRPr="006B5D5F" w:rsidRDefault="006B5D5F" w:rsidP="006B5D5F">
      <w:pPr>
        <w:pStyle w:val="Heading4"/>
        <w:spacing w:line="240" w:lineRule="auto"/>
        <w:ind w:firstLine="544"/>
        <w:contextualSpacing/>
        <w:rPr>
          <w:rFonts w:cs="Arial"/>
        </w:rPr>
      </w:pPr>
      <w:r w:rsidRPr="006B5D5F">
        <w:rPr>
          <w:rFonts w:cs="Arial"/>
        </w:rPr>
        <w:t>Tujuan penelitian ini adalah mengembangkan permainan gerak dasar lokomotor dan manipulatif untuk siswa kelas III SDN Bareng 3 Kota Malang yang diharapkan dapat digunakan dalam pembelajaran pendidikan jasmani, olahraga dan kesehatan.</w:t>
      </w:r>
    </w:p>
    <w:p w:rsidR="00980522" w:rsidRDefault="00980522" w:rsidP="007A2E34">
      <w:pPr>
        <w:pStyle w:val="Heading4"/>
        <w:spacing w:line="240" w:lineRule="auto"/>
        <w:ind w:firstLine="0"/>
        <w:contextualSpacing/>
        <w:rPr>
          <w:b/>
          <w:lang w:val="en-US"/>
        </w:rPr>
      </w:pPr>
    </w:p>
    <w:p w:rsidR="007A2E34" w:rsidRPr="007A2E34" w:rsidRDefault="007A2E34" w:rsidP="007A2E34">
      <w:pPr>
        <w:spacing w:before="0" w:beforeAutospacing="0" w:after="0" w:afterAutospacing="0"/>
      </w:pPr>
    </w:p>
    <w:p w:rsidR="00980522" w:rsidRDefault="00980522" w:rsidP="00980522">
      <w:pPr>
        <w:pStyle w:val="Heading4"/>
        <w:spacing w:line="240" w:lineRule="auto"/>
        <w:ind w:firstLine="0"/>
        <w:contextualSpacing/>
        <w:rPr>
          <w:b/>
          <w:lang w:val="en-US"/>
        </w:rPr>
      </w:pPr>
      <w:r>
        <w:rPr>
          <w:b/>
          <w:lang w:val="en-US"/>
        </w:rPr>
        <w:t>METODE</w:t>
      </w:r>
    </w:p>
    <w:p w:rsidR="00980522" w:rsidRDefault="00980522" w:rsidP="00980522">
      <w:pPr>
        <w:pStyle w:val="Heading4"/>
        <w:spacing w:line="240" w:lineRule="auto"/>
        <w:rPr>
          <w:lang w:val="en-US"/>
        </w:rPr>
      </w:pPr>
    </w:p>
    <w:p w:rsidR="008070B2" w:rsidRDefault="008070B2" w:rsidP="008070B2">
      <w:pPr>
        <w:pStyle w:val="Heading2"/>
        <w:spacing w:line="240" w:lineRule="auto"/>
        <w:ind w:firstLine="567"/>
        <w:rPr>
          <w:rFonts w:cs="Arial"/>
          <w:b w:val="0"/>
          <w:caps w:val="0"/>
          <w:lang w:val="id-ID"/>
        </w:rPr>
      </w:pPr>
      <w:r w:rsidRPr="008070B2">
        <w:rPr>
          <w:rFonts w:cs="Arial"/>
          <w:b w:val="0"/>
          <w:caps w:val="0"/>
          <w:lang w:val="id-ID"/>
        </w:rPr>
        <w:t>Penelitian dan pengembangan ini menggunakan model konseptual dengan langkah penelitian mengacu pada model pengembangan r&amp;d (</w:t>
      </w:r>
      <w:r w:rsidRPr="008070B2">
        <w:rPr>
          <w:rFonts w:cs="Arial"/>
          <w:b w:val="0"/>
          <w:i/>
          <w:caps w:val="0"/>
          <w:lang w:val="id-ID"/>
        </w:rPr>
        <w:t>research and development</w:t>
      </w:r>
      <w:r w:rsidR="00CF32A6">
        <w:rPr>
          <w:rFonts w:cs="Arial"/>
          <w:b w:val="0"/>
          <w:caps w:val="0"/>
          <w:lang w:val="id-ID"/>
        </w:rPr>
        <w:t>)</w:t>
      </w:r>
      <w:r w:rsidRPr="008070B2">
        <w:rPr>
          <w:rFonts w:cs="Arial"/>
          <w:b w:val="0"/>
          <w:caps w:val="0"/>
          <w:lang w:val="id-ID"/>
        </w:rPr>
        <w:t xml:space="preserve"> yang terdiri dari sepuluh langkah, diantaranya: (1) melakukan penelitian dan pengumpulan informasi (kajian pustaka, pengamatan kelas, persiapan laporan pokok persoalan), (2) melakukan perencanaan (pendefinisian keterampilan, perumusan tujuan, penentuan urutan pengajaran, dan uji coba skala kecil), (3) mengembangkan bentuk produk awal (penyiapan materi pengajaran, penyusunan buku pegangan, dan perlengkapan evaluasi), (4) melakukan uji lapangan permulaan (dilakukan pada 2-3 sekolah, menggunakan 6-12 subjek), (5) melakukan revisi terhadap produk utama (sesuai dengan saran-saran dari hasil uji lapangan permulaan), (6) melakukan uji lapangan utama (dengan 5-15 sekolah dengan 30-100 subjek), (7) revisi produk operasional (berdasarkan saran-saran dan hasil uji coba lapangan utama), (8) uji lapangan operasional (meliputi 10-30 sekolah dengan 40-200 subjek), (9) revisi produk akhir, (10) diseminasi dan implementasi. Dari sepuluh langkah yang dikemukakan oleh borg dan gall peneliti menggunakan tujuh langkah penelitian, diantaranya: (1) analisis kebutuhan, (2) pembuatan rancangan produk, (3) evaluasi para ahli dan uji coba, (4) revisi produk awal, (5) uji lapangan, (6) revisi produk akhir, dan (7) produk akhir dan peneliti tidak melakukan langkah (8) uji lapangan operasional (meliputi 10-30 sekolah dengan 40-200 subjek), (9) revisi produk akhir, (10) diseminasi dan implementasi</w:t>
      </w:r>
      <w:r w:rsidR="00CF32A6">
        <w:rPr>
          <w:rFonts w:cs="Arial"/>
          <w:b w:val="0"/>
          <w:caps w:val="0"/>
          <w:lang w:val="id-ID"/>
        </w:rPr>
        <w:t xml:space="preserve"> </w:t>
      </w:r>
      <w:r w:rsidR="00CF32A6">
        <w:rPr>
          <w:rFonts w:cs="Arial"/>
          <w:b w:val="0"/>
          <w:caps w:val="0"/>
          <w:lang w:val="id-ID"/>
        </w:rPr>
        <w:fldChar w:fldCharType="begin" w:fldLock="1"/>
      </w:r>
      <w:r w:rsidR="00CF32A6">
        <w:rPr>
          <w:rFonts w:cs="Arial"/>
          <w:b w:val="0"/>
          <w:caps w:val="0"/>
          <w:lang w:val="id-ID"/>
        </w:rPr>
        <w:instrText>ADDIN CSL_CITATION {"citationItems":[{"id":"ITEM-1","itemData":{"abstract":"Divalent and tetravalent analogues of ganglioside GM1 are potent inhibitors of cholera toxin and Escherichia coli heat-labile toxin. However, they show little increase in inherent affinity when compared to the corresponding monovalent carbohydrate ligand. Analytical ultracentrifugation and dynamic light scattering have been used to demonstrate that the multivalent inhibitors induce protein aggregation and the formation of space-filling networks. This aggregation process appears to arise when using ligands that do not match the valency of the protein receptor. While it is generally accepted that multivalency is an effective strategy for increasing the activity of inhibitors, here we show that the valency of the inhibitor also has a dramatic effect on the kinetics of aggregation and the stability of intermediate protein complexes. Structural studies employing atomic force microscopy have revealed that a divalent inhibitor induces head-to-head dimerization of the protein toxin en route to higher aggregates.","author":[{"dropping-particle":"","family":"Resource","given":"Human","non-dropping-particle":"","parse-names":false,"suffix":""},{"dropping-particle":"","family":"Group","given":"Development","non-dropping-particle":"","parse-names":false,"suffix":""}],"container-title":"R &amp; D Management","id":"ITEM-1","issued":{"date-parts":[["2012"]]},"title":"Council of Scientific and Industrial Research Human Resource Development Group","type":"article-journal"},"uris":["http://www.mendeley.com/documents/?uuid=294ed835-c247-420b-b81e-0b89503f2983","http://www.mendeley.com/documents/?uuid=5152854c-4396-4036-b2c8-b575f609731e"]}],"mendeley":{"formattedCitation":"(Resource &amp; Group, 2012)","plainTextFormattedCitation":"(Resource &amp; Group, 2012)","previouslyFormattedCitation":"(Resource &amp; Group, 2012)"},"properties":{"noteIndex":0},"schema":"https://github.com/citation-style-language/schema/raw/master/csl-citation.json"}</w:instrText>
      </w:r>
      <w:r w:rsidR="00CF32A6">
        <w:rPr>
          <w:rFonts w:cs="Arial"/>
          <w:b w:val="0"/>
          <w:caps w:val="0"/>
          <w:lang w:val="id-ID"/>
        </w:rPr>
        <w:fldChar w:fldCharType="separate"/>
      </w:r>
      <w:r w:rsidR="00CF32A6" w:rsidRPr="00CF32A6">
        <w:rPr>
          <w:rFonts w:cs="Arial"/>
          <w:b w:val="0"/>
          <w:caps w:val="0"/>
          <w:noProof/>
          <w:lang w:val="id-ID"/>
        </w:rPr>
        <w:t>(Resource &amp; Group, 2012)</w:t>
      </w:r>
      <w:r w:rsidR="00CF32A6">
        <w:rPr>
          <w:rFonts w:cs="Arial"/>
          <w:b w:val="0"/>
          <w:caps w:val="0"/>
          <w:lang w:val="id-ID"/>
        </w:rPr>
        <w:fldChar w:fldCharType="end"/>
      </w:r>
      <w:r w:rsidRPr="008070B2">
        <w:rPr>
          <w:rFonts w:cs="Arial"/>
          <w:b w:val="0"/>
          <w:caps w:val="0"/>
          <w:lang w:val="id-ID"/>
        </w:rPr>
        <w:t>.</w:t>
      </w:r>
    </w:p>
    <w:p w:rsidR="008070B2" w:rsidRPr="008070B2" w:rsidRDefault="008070B2" w:rsidP="008070B2">
      <w:pPr>
        <w:pStyle w:val="Heading2"/>
        <w:spacing w:line="240" w:lineRule="auto"/>
        <w:ind w:firstLine="567"/>
        <w:rPr>
          <w:rFonts w:cs="Arial"/>
          <w:b w:val="0"/>
          <w:lang w:val="id-ID"/>
        </w:rPr>
      </w:pPr>
      <w:r w:rsidRPr="008070B2">
        <w:rPr>
          <w:rFonts w:cs="Arial"/>
          <w:b w:val="0"/>
          <w:caps w:val="0"/>
          <w:lang w:val="id-ID"/>
        </w:rPr>
        <w:t xml:space="preserve">Subjek yang terlibat dalam penelitian dan pengembangan ini adalah sebagai berikut: (a) subjek penelitian awal (analisis kebutuhan) dilakukan terhadap 1 orang </w:t>
      </w:r>
      <w:r w:rsidRPr="008070B2">
        <w:rPr>
          <w:rFonts w:cs="Arial"/>
          <w:b w:val="0"/>
          <w:caps w:val="0"/>
        </w:rPr>
        <w:t>pendidik</w:t>
      </w:r>
      <w:r w:rsidRPr="008070B2">
        <w:rPr>
          <w:rFonts w:cs="Arial"/>
          <w:b w:val="0"/>
          <w:caps w:val="0"/>
          <w:lang w:val="id-ID"/>
        </w:rPr>
        <w:t xml:space="preserve"> dan 30 siswa kelas </w:t>
      </w:r>
      <w:r>
        <w:rPr>
          <w:rFonts w:cs="Arial"/>
          <w:b w:val="0"/>
          <w:caps w:val="0"/>
          <w:lang w:val="id-ID"/>
        </w:rPr>
        <w:t>III</w:t>
      </w:r>
      <w:r w:rsidRPr="008070B2">
        <w:rPr>
          <w:rFonts w:cs="Arial"/>
          <w:b w:val="0"/>
          <w:caps w:val="0"/>
        </w:rPr>
        <w:t xml:space="preserve"> </w:t>
      </w:r>
      <w:r>
        <w:rPr>
          <w:rFonts w:cs="Arial"/>
          <w:b w:val="0"/>
          <w:caps w:val="0"/>
        </w:rPr>
        <w:t>SDN</w:t>
      </w:r>
      <w:r w:rsidRPr="008070B2">
        <w:rPr>
          <w:rFonts w:cs="Arial"/>
          <w:b w:val="0"/>
          <w:caps w:val="0"/>
        </w:rPr>
        <w:t xml:space="preserve"> </w:t>
      </w:r>
      <w:r>
        <w:rPr>
          <w:rFonts w:cs="Arial"/>
          <w:b w:val="0"/>
          <w:caps w:val="0"/>
        </w:rPr>
        <w:lastRenderedPageBreak/>
        <w:t>Bareng</w:t>
      </w:r>
      <w:r w:rsidRPr="008070B2">
        <w:rPr>
          <w:rFonts w:cs="Arial"/>
          <w:b w:val="0"/>
          <w:caps w:val="0"/>
        </w:rPr>
        <w:t xml:space="preserve"> 3</w:t>
      </w:r>
      <w:r w:rsidRPr="008070B2">
        <w:rPr>
          <w:rFonts w:cs="Arial"/>
          <w:b w:val="0"/>
          <w:caps w:val="0"/>
          <w:lang w:val="id-ID"/>
        </w:rPr>
        <w:t xml:space="preserve">, (b) subjek evaluasi ahli terdiri dari 1 ahli </w:t>
      </w:r>
      <w:r w:rsidRPr="008070B2">
        <w:rPr>
          <w:rFonts w:cs="Arial"/>
          <w:b w:val="0"/>
          <w:caps w:val="0"/>
        </w:rPr>
        <w:t>media, 1 ahli pembelajaran, 1 ahli permaianan</w:t>
      </w:r>
      <w:r w:rsidRPr="008070B2">
        <w:rPr>
          <w:rFonts w:cs="Arial"/>
          <w:b w:val="0"/>
          <w:caps w:val="0"/>
          <w:lang w:val="id-ID"/>
        </w:rPr>
        <w:t xml:space="preserve">, (c) subjek uji coba (kelompok kecil) adalah </w:t>
      </w:r>
      <w:r w:rsidRPr="008070B2">
        <w:rPr>
          <w:rFonts w:cs="Arial"/>
          <w:b w:val="0"/>
          <w:caps w:val="0"/>
        </w:rPr>
        <w:t xml:space="preserve">kelas </w:t>
      </w:r>
      <w:r>
        <w:rPr>
          <w:rFonts w:cs="Arial"/>
          <w:b w:val="0"/>
          <w:caps w:val="0"/>
        </w:rPr>
        <w:t>III</w:t>
      </w:r>
      <w:r w:rsidRPr="008070B2">
        <w:rPr>
          <w:rFonts w:cs="Arial"/>
          <w:b w:val="0"/>
          <w:caps w:val="0"/>
        </w:rPr>
        <w:t xml:space="preserve"> </w:t>
      </w:r>
      <w:r>
        <w:rPr>
          <w:rFonts w:cs="Arial"/>
          <w:b w:val="0"/>
          <w:caps w:val="0"/>
        </w:rPr>
        <w:t>SDN</w:t>
      </w:r>
      <w:r w:rsidRPr="008070B2">
        <w:rPr>
          <w:rFonts w:cs="Arial"/>
          <w:b w:val="0"/>
          <w:caps w:val="0"/>
        </w:rPr>
        <w:t xml:space="preserve"> </w:t>
      </w:r>
      <w:r>
        <w:rPr>
          <w:rFonts w:cs="Arial"/>
          <w:b w:val="0"/>
          <w:caps w:val="0"/>
        </w:rPr>
        <w:t>Bareng</w:t>
      </w:r>
      <w:r w:rsidRPr="008070B2">
        <w:rPr>
          <w:rFonts w:cs="Arial"/>
          <w:b w:val="0"/>
          <w:caps w:val="0"/>
        </w:rPr>
        <w:t xml:space="preserve"> 3 sebanyak 10 subjek</w:t>
      </w:r>
      <w:r w:rsidRPr="008070B2">
        <w:rPr>
          <w:rFonts w:cs="Arial"/>
          <w:b w:val="0"/>
          <w:caps w:val="0"/>
          <w:lang w:val="id-ID"/>
        </w:rPr>
        <w:t xml:space="preserve">, (d) subjek uji lapangan (kelompok besar) adalah </w:t>
      </w:r>
      <w:r w:rsidRPr="008070B2">
        <w:rPr>
          <w:rFonts w:cs="Arial"/>
          <w:b w:val="0"/>
          <w:caps w:val="0"/>
        </w:rPr>
        <w:t xml:space="preserve">kelas </w:t>
      </w:r>
      <w:r>
        <w:rPr>
          <w:rFonts w:cs="Arial"/>
          <w:b w:val="0"/>
          <w:caps w:val="0"/>
        </w:rPr>
        <w:t>III</w:t>
      </w:r>
      <w:r w:rsidRPr="008070B2">
        <w:rPr>
          <w:rFonts w:cs="Arial"/>
          <w:b w:val="0"/>
          <w:caps w:val="0"/>
        </w:rPr>
        <w:t xml:space="preserve"> </w:t>
      </w:r>
      <w:r>
        <w:rPr>
          <w:rFonts w:cs="Arial"/>
          <w:b w:val="0"/>
          <w:caps w:val="0"/>
        </w:rPr>
        <w:t>SDN</w:t>
      </w:r>
      <w:r w:rsidRPr="008070B2">
        <w:rPr>
          <w:rFonts w:cs="Arial"/>
          <w:b w:val="0"/>
          <w:caps w:val="0"/>
        </w:rPr>
        <w:t xml:space="preserve"> </w:t>
      </w:r>
      <w:r>
        <w:rPr>
          <w:rFonts w:cs="Arial"/>
          <w:b w:val="0"/>
          <w:caps w:val="0"/>
        </w:rPr>
        <w:t>Bareng</w:t>
      </w:r>
      <w:r w:rsidRPr="008070B2">
        <w:rPr>
          <w:rFonts w:cs="Arial"/>
          <w:b w:val="0"/>
          <w:caps w:val="0"/>
        </w:rPr>
        <w:t xml:space="preserve"> 3 sebanyak 30 </w:t>
      </w:r>
      <w:r w:rsidRPr="008070B2">
        <w:rPr>
          <w:rFonts w:cs="Arial"/>
          <w:b w:val="0"/>
          <w:caps w:val="0"/>
          <w:lang w:val="id-ID"/>
        </w:rPr>
        <w:t xml:space="preserve">subjek. Instrumen pengumpulan data yang digunakan di dalam penelitian dan pengembangan </w:t>
      </w:r>
      <w:r w:rsidRPr="008070B2">
        <w:rPr>
          <w:rFonts w:cs="Arial"/>
          <w:b w:val="0"/>
          <w:caps w:val="0"/>
        </w:rPr>
        <w:t>permainan gerak dasar lokomotor dan manipulatif</w:t>
      </w:r>
      <w:r w:rsidRPr="008070B2">
        <w:rPr>
          <w:rFonts w:cs="Arial"/>
          <w:b w:val="0"/>
          <w:caps w:val="0"/>
          <w:lang w:val="id-ID"/>
        </w:rPr>
        <w:t xml:space="preserve"> yang dikemas dalam bentuk buku ini menggunakan angket dengan pendekatan kualitatif dan kuantitatif. Angket dengan pendekatan kualitatif digunakan untuk pengumpulan data dari evaluasi ahli justifikasi berupa saran dan masukan tentang rancangan produk. Sedangkan jenis data kuantitatif diambil dari hasil angket yang dilaksanakan pada uji coba (kelompok kecil) dan uji lapangan (kelompok besar).</w:t>
      </w:r>
    </w:p>
    <w:p w:rsidR="008070B2" w:rsidRPr="008070B2" w:rsidRDefault="008070B2" w:rsidP="008070B2">
      <w:pPr>
        <w:pStyle w:val="Heading2"/>
        <w:spacing w:line="240" w:lineRule="auto"/>
        <w:ind w:firstLine="567"/>
        <w:rPr>
          <w:rFonts w:cs="Arial"/>
          <w:b w:val="0"/>
        </w:rPr>
      </w:pPr>
      <w:r w:rsidRPr="008070B2">
        <w:rPr>
          <w:rFonts w:cs="Arial"/>
          <w:b w:val="0"/>
          <w:caps w:val="0"/>
        </w:rPr>
        <w:t>Teknik analisis data yang digunakan yaitu teknik analisis kualitatif dan deskriptif.</w:t>
      </w:r>
      <w:r w:rsidRPr="008070B2">
        <w:rPr>
          <w:b w:val="0"/>
          <w:caps w:val="0"/>
        </w:rPr>
        <w:t xml:space="preserve"> </w:t>
      </w:r>
      <w:r w:rsidRPr="008070B2">
        <w:rPr>
          <w:rFonts w:cs="Arial"/>
          <w:b w:val="0"/>
          <w:caps w:val="0"/>
        </w:rPr>
        <w:t xml:space="preserve">Teknik analisis kualitatif digunakan untuk menganalisis hasil pengumpulan data dari para ahli menggunakan pendekatan kualitatif. Data yang diperoleh dari satu ahli pembelajaran, satu ahli media dan satu ahli permainan berupa data kualitatif. Teknik analisis deskriptif berupa persentase yang digunakan untuk menganalisis hasil pengumpulan  data dari penelitian awal (analisis kebutuhan), uji coba kelompok kecil dan uji lapangan (kelompok besar) dengan penyebaran angket atau kuesioner kepada siswa kelas </w:t>
      </w:r>
      <w:r>
        <w:rPr>
          <w:rFonts w:cs="Arial"/>
          <w:b w:val="0"/>
          <w:caps w:val="0"/>
        </w:rPr>
        <w:t>III</w:t>
      </w:r>
      <w:r w:rsidRPr="008070B2">
        <w:rPr>
          <w:rFonts w:cs="Arial"/>
          <w:b w:val="0"/>
          <w:caps w:val="0"/>
        </w:rPr>
        <w:t xml:space="preserve"> </w:t>
      </w:r>
      <w:r>
        <w:rPr>
          <w:rFonts w:cs="Arial"/>
          <w:b w:val="0"/>
          <w:caps w:val="0"/>
        </w:rPr>
        <w:t>SDN</w:t>
      </w:r>
      <w:r w:rsidRPr="008070B2">
        <w:rPr>
          <w:rFonts w:cs="Arial"/>
          <w:b w:val="0"/>
          <w:caps w:val="0"/>
        </w:rPr>
        <w:t xml:space="preserve"> </w:t>
      </w:r>
      <w:r>
        <w:rPr>
          <w:rFonts w:cs="Arial"/>
          <w:b w:val="0"/>
          <w:caps w:val="0"/>
        </w:rPr>
        <w:t>Bareng</w:t>
      </w:r>
      <w:r w:rsidRPr="008070B2">
        <w:rPr>
          <w:rFonts w:cs="Arial"/>
          <w:b w:val="0"/>
          <w:caps w:val="0"/>
        </w:rPr>
        <w:t xml:space="preserve"> 3 kota malang.</w:t>
      </w:r>
    </w:p>
    <w:p w:rsidR="008070B2" w:rsidRPr="008070B2" w:rsidRDefault="008070B2" w:rsidP="008070B2">
      <w:pPr>
        <w:pStyle w:val="Heading2"/>
        <w:spacing w:line="240" w:lineRule="auto"/>
        <w:ind w:firstLine="567"/>
        <w:rPr>
          <w:rFonts w:cs="Arial"/>
          <w:b w:val="0"/>
          <w:caps w:val="0"/>
          <w:lang w:val="id-ID"/>
        </w:rPr>
      </w:pPr>
      <w:r w:rsidRPr="008070B2">
        <w:rPr>
          <w:rFonts w:cs="Arial"/>
          <w:b w:val="0"/>
          <w:caps w:val="0"/>
        </w:rPr>
        <w:t>Untuk mempermudah kesimpulan terhadap hasil analisis persentase tingkat keefektifan, serta dapat digunakan produk pengembangan ini, maka ditetapkan kriteria peng-golongan sebagai berikut.</w:t>
      </w:r>
    </w:p>
    <w:p w:rsidR="008070B2" w:rsidRPr="008070B2" w:rsidRDefault="008070B2" w:rsidP="008070B2">
      <w:pPr>
        <w:pStyle w:val="ListParagraph"/>
        <w:spacing w:after="0" w:line="240" w:lineRule="auto"/>
        <w:ind w:left="0"/>
        <w:jc w:val="both"/>
        <w:rPr>
          <w:rFonts w:ascii="Calisto MT" w:hAnsi="Calisto MT" w:cs="Arial"/>
          <w:b/>
          <w:sz w:val="20"/>
          <w:szCs w:val="20"/>
        </w:rPr>
      </w:pPr>
      <w:r w:rsidRPr="008070B2">
        <w:rPr>
          <w:rFonts w:ascii="Calisto MT" w:hAnsi="Calisto MT" w:cs="Arial"/>
          <w:b/>
          <w:sz w:val="20"/>
          <w:szCs w:val="20"/>
        </w:rPr>
        <w:t>Tabel 1 Present</w:t>
      </w:r>
      <w:r w:rsidR="00CF32A6">
        <w:rPr>
          <w:rFonts w:ascii="Calisto MT" w:hAnsi="Calisto MT" w:cs="Arial"/>
          <w:b/>
          <w:sz w:val="20"/>
          <w:szCs w:val="20"/>
        </w:rPr>
        <w:t xml:space="preserve">ase Hasil Penggolongan </w:t>
      </w:r>
      <w:r w:rsidR="00CF32A6" w:rsidRPr="00CF32A6">
        <w:rPr>
          <w:rFonts w:ascii="Calisto MT" w:hAnsi="Calisto MT" w:cs="Arial"/>
          <w:b/>
          <w:sz w:val="20"/>
          <w:szCs w:val="20"/>
        </w:rPr>
        <w:t xml:space="preserve">Data </w:t>
      </w:r>
      <w:r w:rsidR="00CF32A6" w:rsidRPr="00CF32A6">
        <w:rPr>
          <w:rFonts w:ascii="Calisto MT" w:hAnsi="Calisto MT" w:cs="Arial"/>
          <w:b/>
          <w:sz w:val="20"/>
          <w:szCs w:val="20"/>
        </w:rPr>
        <w:fldChar w:fldCharType="begin" w:fldLock="1"/>
      </w:r>
      <w:r w:rsidR="00CF32A6">
        <w:rPr>
          <w:rFonts w:ascii="Calisto MT" w:hAnsi="Calisto MT" w:cs="Arial"/>
          <w:b/>
          <w:sz w:val="20"/>
          <w:szCs w:val="20"/>
        </w:rPr>
        <w:instrText>ADDIN CSL_CITATION {"citationItems":[{"id":"ITEM-1","itemData":{"DOI":"10.1080/19415257.2011.643130","ISSN":"1941-5257","abstract":"This fully updated sixth edition of the international bestseller Research Methods in Education covers the whole range of methods currently employed by educational research at all stages. It is divided into five main parts: the context of educational research; planning educational research; styles of educational research; strategies for data collection and researching; and data analysis. The book also contains references to a comprehensive dedicated website of accompanying materials. The sixth edition includes new material on: complexity theory, ethics, sampling and sensitive educational research experimental research, questionnaire design and administration with practical guidance qualitative and quantitative data analysis, with practical examples internet based research. Research Methods in Education is essential reading for the professional researcher and continues to be the standard text for students and lecturers in educationalresearch.","author":[{"dropping-particle":"","family":"Ingleby","given":"Ewan","non-dropping-particle":"","parse-names":false,"suffix":""}],"container-title":"Professional Development in Education","id":"ITEM-1","issued":{"date-parts":[["2012"]]},"title":"Research methods in education","type":"article-journal"},"uris":["http://www.mendeley.com/documents/?uuid=975818ec-3fb5-4d76-aff3-4eb34985721a","http://www.mendeley.com/documents/?uuid=9989da30-9714-47d6-8ebb-96c481856556"]}],"mendeley":{"formattedCitation":"(Ingleby, 2012)","plainTextFormattedCitation":"(Ingleby, 2012)","previouslyFormattedCitation":"(Ingleby, 2012)"},"properties":{"noteIndex":0},"schema":"https://github.com/citation-style-language/schema/raw/master/csl-citation.json"}</w:instrText>
      </w:r>
      <w:r w:rsidR="00CF32A6" w:rsidRPr="00CF32A6">
        <w:rPr>
          <w:rFonts w:ascii="Calisto MT" w:hAnsi="Calisto MT" w:cs="Arial"/>
          <w:b/>
          <w:sz w:val="20"/>
          <w:szCs w:val="20"/>
        </w:rPr>
        <w:fldChar w:fldCharType="separate"/>
      </w:r>
      <w:r w:rsidR="00CF32A6" w:rsidRPr="00CF32A6">
        <w:rPr>
          <w:rFonts w:ascii="Calisto MT" w:hAnsi="Calisto MT" w:cs="Arial"/>
          <w:b/>
          <w:noProof/>
          <w:sz w:val="20"/>
          <w:szCs w:val="20"/>
        </w:rPr>
        <w:t>(Ingleby, 2012)</w:t>
      </w:r>
      <w:r w:rsidR="00CF32A6" w:rsidRPr="00CF32A6">
        <w:rPr>
          <w:rFonts w:ascii="Calisto MT" w:hAnsi="Calisto MT" w:cs="Arial"/>
          <w:b/>
          <w:sz w:val="20"/>
          <w:szCs w:val="20"/>
        </w:rPr>
        <w:fldChar w:fldCharType="end"/>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954"/>
      </w:tblGrid>
      <w:tr w:rsidR="008070B2" w:rsidRPr="001038F4" w:rsidTr="00807BBE">
        <w:tc>
          <w:tcPr>
            <w:tcW w:w="2268" w:type="dxa"/>
            <w:tcBorders>
              <w:left w:val="nil"/>
              <w:bottom w:val="single" w:sz="4" w:space="0" w:color="auto"/>
              <w:right w:val="nil"/>
            </w:tcBorders>
            <w:shd w:val="clear" w:color="auto" w:fill="auto"/>
          </w:tcPr>
          <w:p w:rsidR="008070B2" w:rsidRPr="008070B2" w:rsidRDefault="008070B2" w:rsidP="008070B2">
            <w:pPr>
              <w:tabs>
                <w:tab w:val="left" w:pos="426"/>
              </w:tabs>
              <w:spacing w:before="0" w:beforeAutospacing="0" w:after="0" w:afterAutospacing="0"/>
              <w:jc w:val="both"/>
              <w:rPr>
                <w:rFonts w:ascii="Calisto MT" w:hAnsi="Calisto MT" w:cs="Arial"/>
                <w:b/>
                <w:sz w:val="18"/>
              </w:rPr>
            </w:pPr>
            <w:r w:rsidRPr="008070B2">
              <w:rPr>
                <w:rFonts w:ascii="Calisto MT" w:hAnsi="Calisto MT" w:cs="Arial"/>
                <w:b/>
                <w:sz w:val="18"/>
              </w:rPr>
              <w:t>Persentase</w:t>
            </w:r>
          </w:p>
        </w:tc>
        <w:tc>
          <w:tcPr>
            <w:tcW w:w="5954" w:type="dxa"/>
            <w:tcBorders>
              <w:left w:val="nil"/>
              <w:bottom w:val="single" w:sz="4" w:space="0" w:color="auto"/>
              <w:right w:val="nil"/>
            </w:tcBorders>
            <w:shd w:val="clear" w:color="auto" w:fill="auto"/>
          </w:tcPr>
          <w:p w:rsidR="008070B2" w:rsidRPr="008070B2" w:rsidRDefault="008070B2" w:rsidP="008070B2">
            <w:pPr>
              <w:tabs>
                <w:tab w:val="left" w:pos="426"/>
              </w:tabs>
              <w:spacing w:before="0" w:beforeAutospacing="0" w:after="0" w:afterAutospacing="0"/>
              <w:jc w:val="both"/>
              <w:rPr>
                <w:rFonts w:ascii="Calisto MT" w:hAnsi="Calisto MT" w:cs="Arial"/>
                <w:b/>
                <w:sz w:val="18"/>
              </w:rPr>
            </w:pPr>
            <w:r w:rsidRPr="008070B2">
              <w:rPr>
                <w:rFonts w:ascii="Calisto MT" w:hAnsi="Calisto MT" w:cs="Arial"/>
                <w:b/>
                <w:sz w:val="18"/>
              </w:rPr>
              <w:t>Makna</w:t>
            </w:r>
          </w:p>
        </w:tc>
      </w:tr>
      <w:tr w:rsidR="008070B2" w:rsidRPr="001038F4" w:rsidTr="00807BBE">
        <w:tc>
          <w:tcPr>
            <w:tcW w:w="2268" w:type="dxa"/>
            <w:tcBorders>
              <w:left w:val="nil"/>
              <w:right w:val="nil"/>
            </w:tcBorders>
            <w:shd w:val="clear" w:color="auto" w:fill="auto"/>
          </w:tcPr>
          <w:p w:rsidR="008070B2" w:rsidRPr="008070B2" w:rsidRDefault="008070B2" w:rsidP="008070B2">
            <w:pPr>
              <w:tabs>
                <w:tab w:val="left" w:pos="426"/>
              </w:tabs>
              <w:spacing w:before="0" w:beforeAutospacing="0" w:after="0" w:afterAutospacing="0"/>
              <w:jc w:val="both"/>
              <w:rPr>
                <w:rFonts w:ascii="Calisto MT" w:hAnsi="Calisto MT" w:cs="Arial"/>
                <w:sz w:val="18"/>
              </w:rPr>
            </w:pPr>
            <w:r w:rsidRPr="008070B2">
              <w:rPr>
                <w:rFonts w:ascii="Calisto MT" w:hAnsi="Calisto MT" w:cs="Arial"/>
                <w:sz w:val="18"/>
              </w:rPr>
              <w:t>81-100%</w:t>
            </w:r>
          </w:p>
          <w:p w:rsidR="008070B2" w:rsidRPr="008070B2" w:rsidRDefault="008070B2" w:rsidP="008070B2">
            <w:pPr>
              <w:tabs>
                <w:tab w:val="left" w:pos="426"/>
              </w:tabs>
              <w:spacing w:before="0" w:beforeAutospacing="0" w:after="0" w:afterAutospacing="0"/>
              <w:jc w:val="both"/>
              <w:rPr>
                <w:rFonts w:ascii="Calisto MT" w:hAnsi="Calisto MT" w:cs="Arial"/>
                <w:sz w:val="18"/>
              </w:rPr>
            </w:pPr>
            <w:r w:rsidRPr="008070B2">
              <w:rPr>
                <w:rFonts w:ascii="Calisto MT" w:hAnsi="Calisto MT" w:cs="Arial"/>
                <w:sz w:val="18"/>
              </w:rPr>
              <w:t>61-80%</w:t>
            </w:r>
          </w:p>
          <w:p w:rsidR="008070B2" w:rsidRPr="008070B2" w:rsidRDefault="008070B2" w:rsidP="008070B2">
            <w:pPr>
              <w:tabs>
                <w:tab w:val="left" w:pos="426"/>
              </w:tabs>
              <w:spacing w:before="0" w:beforeAutospacing="0" w:after="0" w:afterAutospacing="0"/>
              <w:jc w:val="both"/>
              <w:rPr>
                <w:rFonts w:ascii="Calisto MT" w:hAnsi="Calisto MT" w:cs="Arial"/>
                <w:sz w:val="18"/>
              </w:rPr>
            </w:pPr>
            <w:r w:rsidRPr="008070B2">
              <w:rPr>
                <w:rFonts w:ascii="Calisto MT" w:hAnsi="Calisto MT" w:cs="Arial"/>
                <w:sz w:val="18"/>
              </w:rPr>
              <w:t>41-60%</w:t>
            </w:r>
          </w:p>
          <w:p w:rsidR="008070B2" w:rsidRPr="008070B2" w:rsidRDefault="008070B2" w:rsidP="008070B2">
            <w:pPr>
              <w:tabs>
                <w:tab w:val="left" w:pos="426"/>
              </w:tabs>
              <w:spacing w:before="0" w:beforeAutospacing="0" w:after="0" w:afterAutospacing="0"/>
              <w:jc w:val="both"/>
              <w:rPr>
                <w:rFonts w:ascii="Calisto MT" w:hAnsi="Calisto MT" w:cs="Arial"/>
                <w:sz w:val="18"/>
              </w:rPr>
            </w:pPr>
            <w:r w:rsidRPr="008070B2">
              <w:rPr>
                <w:rFonts w:ascii="Calisto MT" w:hAnsi="Calisto MT" w:cs="Arial"/>
                <w:sz w:val="18"/>
              </w:rPr>
              <w:t>21-40%</w:t>
            </w:r>
          </w:p>
          <w:p w:rsidR="008070B2" w:rsidRPr="008070B2" w:rsidRDefault="008070B2" w:rsidP="008070B2">
            <w:pPr>
              <w:tabs>
                <w:tab w:val="left" w:pos="426"/>
              </w:tabs>
              <w:spacing w:before="0" w:beforeAutospacing="0" w:after="0" w:afterAutospacing="0"/>
              <w:jc w:val="both"/>
              <w:rPr>
                <w:rFonts w:ascii="Calisto MT" w:hAnsi="Calisto MT" w:cs="Arial"/>
                <w:sz w:val="18"/>
              </w:rPr>
            </w:pPr>
            <w:r w:rsidRPr="008070B2">
              <w:rPr>
                <w:rFonts w:ascii="Calisto MT" w:hAnsi="Calisto MT" w:cs="Arial"/>
                <w:sz w:val="18"/>
              </w:rPr>
              <w:t>0-20%</w:t>
            </w:r>
          </w:p>
        </w:tc>
        <w:tc>
          <w:tcPr>
            <w:tcW w:w="5954" w:type="dxa"/>
            <w:tcBorders>
              <w:left w:val="nil"/>
              <w:right w:val="nil"/>
            </w:tcBorders>
            <w:shd w:val="clear" w:color="auto" w:fill="auto"/>
          </w:tcPr>
          <w:p w:rsidR="008070B2" w:rsidRPr="008070B2" w:rsidRDefault="008070B2" w:rsidP="008070B2">
            <w:pPr>
              <w:tabs>
                <w:tab w:val="left" w:pos="426"/>
              </w:tabs>
              <w:spacing w:before="0" w:beforeAutospacing="0" w:after="0" w:afterAutospacing="0"/>
              <w:jc w:val="both"/>
              <w:rPr>
                <w:rFonts w:ascii="Calisto MT" w:hAnsi="Calisto MT" w:cs="Arial"/>
                <w:sz w:val="18"/>
              </w:rPr>
            </w:pPr>
            <w:r w:rsidRPr="008070B2">
              <w:rPr>
                <w:rFonts w:ascii="Calisto MT" w:hAnsi="Calisto MT" w:cs="Arial"/>
                <w:sz w:val="18"/>
              </w:rPr>
              <w:t>Sangat valid, dapat digunakan tanpa perbaikan.</w:t>
            </w:r>
          </w:p>
          <w:p w:rsidR="008070B2" w:rsidRPr="008070B2" w:rsidRDefault="008070B2" w:rsidP="008070B2">
            <w:pPr>
              <w:tabs>
                <w:tab w:val="left" w:pos="426"/>
              </w:tabs>
              <w:spacing w:before="0" w:beforeAutospacing="0" w:after="0" w:afterAutospacing="0"/>
              <w:jc w:val="both"/>
              <w:rPr>
                <w:rFonts w:ascii="Calisto MT" w:hAnsi="Calisto MT" w:cs="Arial"/>
                <w:sz w:val="18"/>
              </w:rPr>
            </w:pPr>
            <w:r w:rsidRPr="008070B2">
              <w:rPr>
                <w:rFonts w:ascii="Calisto MT" w:hAnsi="Calisto MT" w:cs="Arial"/>
                <w:sz w:val="18"/>
              </w:rPr>
              <w:t>Cukup valid, dapat digunakan dengan perbaikan kecil.</w:t>
            </w:r>
          </w:p>
          <w:p w:rsidR="008070B2" w:rsidRPr="008070B2" w:rsidRDefault="008070B2" w:rsidP="008070B2">
            <w:pPr>
              <w:tabs>
                <w:tab w:val="left" w:pos="426"/>
              </w:tabs>
              <w:spacing w:before="0" w:beforeAutospacing="0" w:after="0" w:afterAutospacing="0"/>
              <w:jc w:val="left"/>
              <w:rPr>
                <w:rFonts w:ascii="Calisto MT" w:hAnsi="Calisto MT" w:cs="Arial"/>
                <w:sz w:val="18"/>
              </w:rPr>
            </w:pPr>
            <w:r w:rsidRPr="008070B2">
              <w:rPr>
                <w:rFonts w:ascii="Calisto MT" w:hAnsi="Calisto MT" w:cs="Arial"/>
                <w:sz w:val="18"/>
              </w:rPr>
              <w:t>Kurang valid, disarankan tidak dipergunakan.</w:t>
            </w:r>
          </w:p>
          <w:p w:rsidR="008070B2" w:rsidRPr="008070B2" w:rsidRDefault="008070B2" w:rsidP="008070B2">
            <w:pPr>
              <w:tabs>
                <w:tab w:val="left" w:pos="426"/>
              </w:tabs>
              <w:spacing w:before="0" w:beforeAutospacing="0" w:after="0" w:afterAutospacing="0"/>
              <w:jc w:val="both"/>
              <w:rPr>
                <w:rFonts w:ascii="Calisto MT" w:hAnsi="Calisto MT" w:cs="Arial"/>
                <w:sz w:val="18"/>
              </w:rPr>
            </w:pPr>
            <w:r w:rsidRPr="008070B2">
              <w:rPr>
                <w:rFonts w:ascii="Calisto MT" w:hAnsi="Calisto MT" w:cs="Arial"/>
                <w:sz w:val="18"/>
              </w:rPr>
              <w:t>Tidak valid, tidak bisa digunakan.</w:t>
            </w:r>
          </w:p>
          <w:p w:rsidR="008070B2" w:rsidRPr="008070B2" w:rsidRDefault="008070B2" w:rsidP="008070B2">
            <w:pPr>
              <w:tabs>
                <w:tab w:val="left" w:pos="426"/>
              </w:tabs>
              <w:spacing w:before="0" w:beforeAutospacing="0" w:after="0" w:afterAutospacing="0"/>
              <w:jc w:val="both"/>
              <w:rPr>
                <w:rFonts w:ascii="Calisto MT" w:hAnsi="Calisto MT" w:cs="Arial"/>
                <w:sz w:val="18"/>
              </w:rPr>
            </w:pPr>
            <w:r w:rsidRPr="008070B2">
              <w:rPr>
                <w:rFonts w:ascii="Calisto MT" w:hAnsi="Calisto MT" w:cs="Arial"/>
                <w:sz w:val="18"/>
              </w:rPr>
              <w:t>Sangat tidak valid, tidak bisa digunakan.</w:t>
            </w:r>
          </w:p>
        </w:tc>
      </w:tr>
    </w:tbl>
    <w:p w:rsidR="00980522" w:rsidRDefault="00980522" w:rsidP="00980522">
      <w:pPr>
        <w:pStyle w:val="Heading4"/>
        <w:ind w:firstLine="0"/>
        <w:rPr>
          <w:b/>
          <w:lang w:val="en-US"/>
        </w:rPr>
      </w:pPr>
    </w:p>
    <w:p w:rsidR="007A2E34" w:rsidRPr="007A2E34" w:rsidRDefault="007A2E34" w:rsidP="007A2E34">
      <w:pPr>
        <w:spacing w:before="0" w:beforeAutospacing="0" w:after="0" w:afterAutospacing="0"/>
      </w:pPr>
    </w:p>
    <w:p w:rsidR="00980522" w:rsidRPr="008B4A77" w:rsidRDefault="00980522" w:rsidP="00980522">
      <w:pPr>
        <w:pStyle w:val="Heading4"/>
        <w:ind w:firstLine="0"/>
        <w:rPr>
          <w:b/>
        </w:rPr>
      </w:pPr>
      <w:r>
        <w:rPr>
          <w:b/>
          <w:lang w:val="en-US"/>
        </w:rPr>
        <w:t>H</w:t>
      </w:r>
      <w:r w:rsidRPr="008B4A77">
        <w:rPr>
          <w:b/>
        </w:rPr>
        <w:t>ASIL</w:t>
      </w:r>
      <w:r w:rsidRPr="001D4241">
        <w:t xml:space="preserve"> </w:t>
      </w:r>
    </w:p>
    <w:p w:rsidR="00980522" w:rsidRDefault="00980522" w:rsidP="00980522">
      <w:pPr>
        <w:pStyle w:val="Heading4"/>
        <w:ind w:firstLine="567"/>
        <w:rPr>
          <w:lang w:val="en-AU"/>
        </w:rPr>
      </w:pPr>
    </w:p>
    <w:p w:rsidR="00D51D82" w:rsidRDefault="00D51D82" w:rsidP="00CF32A6">
      <w:pPr>
        <w:pStyle w:val="Heading4"/>
        <w:spacing w:line="240" w:lineRule="auto"/>
        <w:ind w:firstLine="567"/>
        <w:rPr>
          <w:rFonts w:cs="Arial"/>
        </w:rPr>
      </w:pPr>
      <w:r w:rsidRPr="00D51D82">
        <w:rPr>
          <w:rFonts w:cs="Arial"/>
        </w:rPr>
        <w:t>Dari hasil penelitian yang telah dilakukan yang dilakukan oleh beberapa subjek uji coba, diantaranya: justifikasi ahli 1 ahli media, 1 ahli pembelajaran, 1 ahli permainan.</w:t>
      </w:r>
    </w:p>
    <w:p w:rsidR="00CF32A6" w:rsidRPr="00CF32A6" w:rsidRDefault="00CF32A6" w:rsidP="00CF32A6">
      <w:pPr>
        <w:spacing w:before="0" w:beforeAutospacing="0" w:after="0" w:afterAutospacing="0"/>
        <w:rPr>
          <w:lang w:val="id-ID"/>
        </w:rPr>
      </w:pPr>
    </w:p>
    <w:p w:rsidR="00D51D82" w:rsidRPr="00D51D82" w:rsidRDefault="00D51D82" w:rsidP="00CF32A6">
      <w:pPr>
        <w:spacing w:before="0" w:beforeAutospacing="0" w:after="0" w:afterAutospacing="0"/>
        <w:ind w:left="992" w:hanging="992"/>
        <w:jc w:val="left"/>
        <w:rPr>
          <w:rFonts w:ascii="Arial" w:hAnsi="Arial" w:cs="Arial"/>
          <w:b/>
          <w:bCs/>
          <w:sz w:val="20"/>
          <w:lang w:val="id-ID"/>
        </w:rPr>
      </w:pPr>
      <w:r w:rsidRPr="00D51D82">
        <w:rPr>
          <w:rFonts w:ascii="Arial" w:hAnsi="Arial" w:cs="Arial"/>
          <w:b/>
          <w:bCs/>
          <w:sz w:val="20"/>
          <w:lang w:val="id-ID"/>
        </w:rPr>
        <w:t xml:space="preserve">Tabel </w:t>
      </w:r>
      <w:r w:rsidRPr="00D51D82">
        <w:rPr>
          <w:rFonts w:ascii="Arial" w:hAnsi="Arial" w:cs="Arial"/>
          <w:b/>
          <w:bCs/>
          <w:sz w:val="20"/>
        </w:rPr>
        <w:t>1</w:t>
      </w:r>
      <w:r w:rsidRPr="00D51D82">
        <w:rPr>
          <w:rFonts w:ascii="Arial" w:hAnsi="Arial" w:cs="Arial"/>
          <w:b/>
          <w:bCs/>
          <w:sz w:val="20"/>
          <w:lang w:val="id-ID"/>
        </w:rPr>
        <w:t xml:space="preserve">  Data Hasil Keseluruhan dari Evaluasi Ahli </w:t>
      </w:r>
      <w:r w:rsidRPr="00D51D82">
        <w:rPr>
          <w:rFonts w:ascii="Arial" w:hAnsi="Arial" w:cs="Arial"/>
          <w:b/>
          <w:bCs/>
          <w:sz w:val="20"/>
        </w:rPr>
        <w:t>Balap Sepeda, Pelatih Balap Sepeda</w:t>
      </w:r>
      <w:r>
        <w:rPr>
          <w:rFonts w:ascii="Arial" w:hAnsi="Arial" w:cs="Arial"/>
          <w:b/>
          <w:bCs/>
          <w:sz w:val="20"/>
          <w:lang w:val="id-ID"/>
        </w:rPr>
        <w:t xml:space="preserve"> </w:t>
      </w:r>
      <w:r w:rsidRPr="00D51D82">
        <w:rPr>
          <w:rFonts w:ascii="Arial" w:hAnsi="Arial" w:cs="Arial"/>
          <w:b/>
          <w:bCs/>
          <w:sz w:val="20"/>
          <w:lang w:val="id-ID"/>
        </w:rPr>
        <w:t>dan Ahli Media</w:t>
      </w:r>
    </w:p>
    <w:tbl>
      <w:tblPr>
        <w:tblW w:w="77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0"/>
        <w:gridCol w:w="1418"/>
        <w:gridCol w:w="992"/>
        <w:gridCol w:w="850"/>
        <w:gridCol w:w="1560"/>
      </w:tblGrid>
      <w:tr w:rsidR="00D51D82" w:rsidRPr="00A40BEC" w:rsidTr="00807BBE">
        <w:trPr>
          <w:trHeight w:val="291"/>
        </w:trPr>
        <w:tc>
          <w:tcPr>
            <w:tcW w:w="567" w:type="dxa"/>
            <w:tcBorders>
              <w:top w:val="single" w:sz="12" w:space="0" w:color="auto"/>
              <w:left w:val="nil"/>
              <w:right w:val="nil"/>
            </w:tcBorders>
            <w:vAlign w:val="center"/>
          </w:tcPr>
          <w:p w:rsidR="00D51D82" w:rsidRPr="00D51D82" w:rsidRDefault="00D51D82" w:rsidP="00D51D82">
            <w:pPr>
              <w:spacing w:before="0" w:beforeAutospacing="0" w:after="0" w:afterAutospacing="0"/>
              <w:rPr>
                <w:rFonts w:ascii="Calisto MT" w:eastAsia="Calibri" w:hAnsi="Calisto MT" w:cs="Arial"/>
                <w:b/>
                <w:sz w:val="18"/>
                <w:szCs w:val="20"/>
                <w:lang w:val="id-ID"/>
              </w:rPr>
            </w:pPr>
            <w:r w:rsidRPr="00D51D82">
              <w:rPr>
                <w:rFonts w:ascii="Calisto MT" w:eastAsia="Calibri" w:hAnsi="Calisto MT" w:cs="Arial"/>
                <w:b/>
                <w:sz w:val="18"/>
                <w:szCs w:val="20"/>
              </w:rPr>
              <w:t>No</w:t>
            </w:r>
          </w:p>
        </w:tc>
        <w:tc>
          <w:tcPr>
            <w:tcW w:w="2410" w:type="dxa"/>
            <w:tcBorders>
              <w:top w:val="single" w:sz="12" w:space="0" w:color="auto"/>
              <w:left w:val="nil"/>
              <w:right w:val="nil"/>
            </w:tcBorders>
            <w:vAlign w:val="center"/>
          </w:tcPr>
          <w:p w:rsidR="00D51D82" w:rsidRPr="00D51D82" w:rsidRDefault="00D51D82" w:rsidP="00D51D82">
            <w:pPr>
              <w:spacing w:before="0" w:beforeAutospacing="0" w:after="0" w:afterAutospacing="0"/>
              <w:rPr>
                <w:rFonts w:ascii="Calisto MT" w:eastAsia="Calibri" w:hAnsi="Calisto MT" w:cs="Arial"/>
                <w:b/>
                <w:sz w:val="18"/>
                <w:szCs w:val="20"/>
              </w:rPr>
            </w:pPr>
            <w:r w:rsidRPr="00D51D82">
              <w:rPr>
                <w:rFonts w:ascii="Calisto MT" w:eastAsia="Calibri" w:hAnsi="Calisto MT" w:cs="Arial"/>
                <w:b/>
                <w:sz w:val="18"/>
                <w:szCs w:val="20"/>
              </w:rPr>
              <w:t>Ahli</w:t>
            </w:r>
          </w:p>
        </w:tc>
        <w:tc>
          <w:tcPr>
            <w:tcW w:w="1418" w:type="dxa"/>
            <w:tcBorders>
              <w:top w:val="single" w:sz="12" w:space="0" w:color="auto"/>
              <w:left w:val="nil"/>
              <w:right w:val="nil"/>
            </w:tcBorders>
            <w:vAlign w:val="center"/>
          </w:tcPr>
          <w:p w:rsidR="00D51D82" w:rsidRPr="00D51D82" w:rsidRDefault="00D51D82" w:rsidP="00D51D82">
            <w:pPr>
              <w:spacing w:before="0" w:beforeAutospacing="0" w:after="0" w:afterAutospacing="0"/>
              <w:rPr>
                <w:rFonts w:ascii="Calisto MT" w:eastAsia="Calibri" w:hAnsi="Calisto MT" w:cs="Arial"/>
                <w:b/>
                <w:sz w:val="18"/>
                <w:szCs w:val="20"/>
              </w:rPr>
            </w:pPr>
            <w:r w:rsidRPr="00D51D82">
              <w:rPr>
                <w:rFonts w:ascii="Calisto MT" w:eastAsia="Calibri" w:hAnsi="Calisto MT" w:cs="Arial"/>
                <w:b/>
                <w:sz w:val="18"/>
                <w:szCs w:val="20"/>
              </w:rPr>
              <w:t>Skor</w:t>
            </w:r>
          </w:p>
        </w:tc>
        <w:tc>
          <w:tcPr>
            <w:tcW w:w="992" w:type="dxa"/>
            <w:tcBorders>
              <w:top w:val="single" w:sz="12" w:space="0" w:color="auto"/>
              <w:left w:val="nil"/>
              <w:right w:val="nil"/>
            </w:tcBorders>
            <w:vAlign w:val="center"/>
          </w:tcPr>
          <w:p w:rsidR="00D51D82" w:rsidRPr="00D51D82" w:rsidRDefault="00D51D82" w:rsidP="00D51D82">
            <w:pPr>
              <w:spacing w:before="0" w:beforeAutospacing="0" w:after="0" w:afterAutospacing="0"/>
              <w:rPr>
                <w:rFonts w:ascii="Calisto MT" w:eastAsia="Calibri" w:hAnsi="Calisto MT" w:cs="Arial"/>
                <w:b/>
                <w:sz w:val="18"/>
                <w:szCs w:val="20"/>
              </w:rPr>
            </w:pPr>
            <w:r w:rsidRPr="00D51D82">
              <w:rPr>
                <w:rFonts w:ascii="Calisto MT" w:eastAsia="Calibri" w:hAnsi="Calisto MT" w:cs="Arial"/>
                <w:b/>
                <w:sz w:val="18"/>
                <w:szCs w:val="20"/>
              </w:rPr>
              <w:t>Skor min</w:t>
            </w:r>
          </w:p>
        </w:tc>
        <w:tc>
          <w:tcPr>
            <w:tcW w:w="850" w:type="dxa"/>
            <w:tcBorders>
              <w:top w:val="single" w:sz="12" w:space="0" w:color="auto"/>
              <w:left w:val="nil"/>
              <w:right w:val="nil"/>
            </w:tcBorders>
            <w:vAlign w:val="center"/>
          </w:tcPr>
          <w:p w:rsidR="00D51D82" w:rsidRPr="00D51D82" w:rsidRDefault="00D51D82" w:rsidP="00D51D82">
            <w:pPr>
              <w:spacing w:before="0" w:beforeAutospacing="0" w:after="0" w:afterAutospacing="0"/>
              <w:rPr>
                <w:rFonts w:ascii="Calisto MT" w:eastAsia="Calibri" w:hAnsi="Calisto MT" w:cs="Arial"/>
                <w:b/>
                <w:sz w:val="18"/>
                <w:szCs w:val="20"/>
                <w:lang w:val="id-ID"/>
              </w:rPr>
            </w:pPr>
            <w:r w:rsidRPr="00D51D82">
              <w:rPr>
                <w:rFonts w:ascii="Calisto MT" w:eastAsia="Calibri" w:hAnsi="Calisto MT" w:cs="Arial"/>
                <w:b/>
                <w:sz w:val="18"/>
                <w:szCs w:val="20"/>
              </w:rPr>
              <w:t>Skor</w:t>
            </w:r>
            <w:r w:rsidRPr="00D51D82">
              <w:rPr>
                <w:rFonts w:ascii="Calisto MT" w:eastAsia="Calibri" w:hAnsi="Calisto MT" w:cs="Arial"/>
                <w:b/>
                <w:sz w:val="18"/>
                <w:szCs w:val="20"/>
                <w:lang w:val="id-ID"/>
              </w:rPr>
              <w:t xml:space="preserve"> max</w:t>
            </w:r>
          </w:p>
        </w:tc>
        <w:tc>
          <w:tcPr>
            <w:tcW w:w="1560" w:type="dxa"/>
            <w:tcBorders>
              <w:top w:val="single" w:sz="12" w:space="0" w:color="auto"/>
              <w:left w:val="nil"/>
              <w:right w:val="nil"/>
            </w:tcBorders>
            <w:vAlign w:val="center"/>
          </w:tcPr>
          <w:p w:rsidR="00D51D82" w:rsidRPr="00D51D82" w:rsidRDefault="00D51D82" w:rsidP="00D51D82">
            <w:pPr>
              <w:spacing w:before="0" w:beforeAutospacing="0" w:after="0" w:afterAutospacing="0"/>
              <w:rPr>
                <w:rFonts w:ascii="Calisto MT" w:eastAsia="Calibri" w:hAnsi="Calisto MT" w:cs="Arial"/>
                <w:b/>
                <w:sz w:val="18"/>
                <w:szCs w:val="20"/>
              </w:rPr>
            </w:pPr>
            <w:r w:rsidRPr="00D51D82">
              <w:rPr>
                <w:rFonts w:ascii="Calisto MT" w:eastAsia="Calibri" w:hAnsi="Calisto MT" w:cs="Arial"/>
                <w:b/>
                <w:sz w:val="18"/>
                <w:szCs w:val="20"/>
              </w:rPr>
              <w:t>Persentase</w:t>
            </w:r>
          </w:p>
        </w:tc>
      </w:tr>
      <w:tr w:rsidR="00D51D82" w:rsidRPr="00A40BEC" w:rsidTr="00807BBE">
        <w:tc>
          <w:tcPr>
            <w:tcW w:w="567" w:type="dxa"/>
            <w:tcBorders>
              <w:left w:val="nil"/>
              <w:bottom w:val="single" w:sz="4" w:space="0" w:color="000000"/>
              <w:right w:val="nil"/>
            </w:tcBorders>
          </w:tcPr>
          <w:p w:rsidR="00D51D82" w:rsidRPr="00D51D82" w:rsidRDefault="00D51D82" w:rsidP="00D51D82">
            <w:pPr>
              <w:spacing w:before="0" w:beforeAutospacing="0" w:after="0" w:afterAutospacing="0"/>
              <w:rPr>
                <w:rFonts w:ascii="Calisto MT" w:eastAsia="Calibri" w:hAnsi="Calisto MT" w:cs="Arial"/>
                <w:sz w:val="18"/>
                <w:szCs w:val="20"/>
              </w:rPr>
            </w:pPr>
            <w:r w:rsidRPr="00D51D82">
              <w:rPr>
                <w:rFonts w:ascii="Calisto MT" w:eastAsia="Calibri" w:hAnsi="Calisto MT" w:cs="Arial"/>
                <w:sz w:val="18"/>
                <w:szCs w:val="20"/>
              </w:rPr>
              <w:t>1.</w:t>
            </w:r>
          </w:p>
          <w:p w:rsidR="00D51D82" w:rsidRPr="00D51D82" w:rsidRDefault="00D51D82" w:rsidP="00D51D82">
            <w:pPr>
              <w:spacing w:before="0" w:beforeAutospacing="0" w:after="0" w:afterAutospacing="0"/>
              <w:rPr>
                <w:rFonts w:ascii="Calisto MT" w:eastAsia="Calibri" w:hAnsi="Calisto MT" w:cs="Arial"/>
                <w:sz w:val="18"/>
                <w:szCs w:val="20"/>
              </w:rPr>
            </w:pP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r w:rsidRPr="00D51D82">
              <w:rPr>
                <w:rFonts w:ascii="Calisto MT" w:eastAsia="Calibri" w:hAnsi="Calisto MT" w:cs="Arial"/>
                <w:sz w:val="18"/>
                <w:szCs w:val="20"/>
                <w:lang w:val="id-ID"/>
              </w:rPr>
              <w:t>2.</w:t>
            </w: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r w:rsidRPr="00D51D82">
              <w:rPr>
                <w:rFonts w:ascii="Calisto MT" w:eastAsia="Calibri" w:hAnsi="Calisto MT" w:cs="Arial"/>
                <w:sz w:val="18"/>
                <w:szCs w:val="20"/>
                <w:lang w:val="id-ID"/>
              </w:rPr>
              <w:t>3.</w:t>
            </w:r>
          </w:p>
        </w:tc>
        <w:tc>
          <w:tcPr>
            <w:tcW w:w="2410" w:type="dxa"/>
            <w:tcBorders>
              <w:left w:val="nil"/>
              <w:bottom w:val="single" w:sz="4" w:space="0" w:color="000000"/>
              <w:right w:val="nil"/>
            </w:tcBorders>
          </w:tcPr>
          <w:p w:rsidR="00D51D82" w:rsidRPr="00D51D82" w:rsidRDefault="00D51D82" w:rsidP="00D51D82">
            <w:pPr>
              <w:spacing w:before="0" w:beforeAutospacing="0" w:after="0" w:afterAutospacing="0"/>
              <w:rPr>
                <w:rFonts w:ascii="Calisto MT" w:eastAsia="Calibri" w:hAnsi="Calisto MT" w:cs="Arial"/>
                <w:sz w:val="18"/>
                <w:szCs w:val="20"/>
              </w:rPr>
            </w:pPr>
            <w:r w:rsidRPr="00D51D82">
              <w:rPr>
                <w:rFonts w:ascii="Calisto MT" w:eastAsia="Calibri" w:hAnsi="Calisto MT" w:cs="Arial"/>
                <w:sz w:val="18"/>
                <w:szCs w:val="20"/>
              </w:rPr>
              <w:t xml:space="preserve">Ahli media (N=1), jumlah instrumen </w:t>
            </w:r>
            <w:r w:rsidRPr="00D51D82">
              <w:rPr>
                <w:rFonts w:ascii="Calisto MT" w:eastAsia="Calibri" w:hAnsi="Calisto MT" w:cs="Arial"/>
                <w:sz w:val="18"/>
                <w:szCs w:val="20"/>
                <w:lang w:val="id-ID"/>
              </w:rPr>
              <w:t>33</w:t>
            </w:r>
            <w:r w:rsidRPr="00D51D82">
              <w:rPr>
                <w:rFonts w:ascii="Calisto MT" w:eastAsia="Calibri" w:hAnsi="Calisto MT" w:cs="Arial"/>
                <w:sz w:val="18"/>
                <w:szCs w:val="20"/>
              </w:rPr>
              <w:t xml:space="preserve"> butir</w:t>
            </w:r>
          </w:p>
          <w:p w:rsidR="00D51D82" w:rsidRPr="00D51D82" w:rsidRDefault="00D51D82" w:rsidP="00D51D82">
            <w:pPr>
              <w:spacing w:before="0" w:beforeAutospacing="0" w:after="0" w:afterAutospacing="0"/>
              <w:rPr>
                <w:rFonts w:ascii="Calisto MT" w:eastAsia="Calibri" w:hAnsi="Calisto MT" w:cs="Arial"/>
                <w:sz w:val="18"/>
                <w:szCs w:val="20"/>
              </w:rPr>
            </w:pPr>
            <w:r w:rsidRPr="00D51D82">
              <w:rPr>
                <w:rFonts w:ascii="Calisto MT" w:eastAsia="Calibri" w:hAnsi="Calisto MT" w:cs="Arial"/>
                <w:sz w:val="18"/>
                <w:szCs w:val="20"/>
              </w:rPr>
              <w:t>Pelatih pembelajaran (N=1), instrumen 23 butir</w:t>
            </w:r>
          </w:p>
          <w:p w:rsidR="00D51D82" w:rsidRPr="00D51D82" w:rsidRDefault="00D51D82" w:rsidP="00D51D82">
            <w:pPr>
              <w:spacing w:before="0" w:beforeAutospacing="0" w:after="0" w:afterAutospacing="0"/>
              <w:rPr>
                <w:rFonts w:ascii="Calisto MT" w:eastAsia="Calibri" w:hAnsi="Calisto MT" w:cs="Arial"/>
                <w:sz w:val="18"/>
                <w:szCs w:val="20"/>
                <w:lang w:val="id-ID"/>
              </w:rPr>
            </w:pPr>
            <w:r w:rsidRPr="00D51D82">
              <w:rPr>
                <w:rFonts w:ascii="Calisto MT" w:eastAsia="Calibri" w:hAnsi="Calisto MT" w:cs="Arial"/>
                <w:sz w:val="18"/>
                <w:szCs w:val="20"/>
                <w:lang w:val="id-ID"/>
              </w:rPr>
              <w:t xml:space="preserve">Ahli </w:t>
            </w:r>
            <w:r w:rsidRPr="00D51D82">
              <w:rPr>
                <w:rFonts w:ascii="Calisto MT" w:eastAsia="Calibri" w:hAnsi="Calisto MT" w:cs="Arial"/>
                <w:sz w:val="18"/>
                <w:szCs w:val="20"/>
              </w:rPr>
              <w:t>permainan</w:t>
            </w:r>
            <w:r w:rsidRPr="00D51D82">
              <w:rPr>
                <w:rFonts w:ascii="Calisto MT" w:eastAsia="Calibri" w:hAnsi="Calisto MT" w:cs="Arial"/>
                <w:sz w:val="18"/>
                <w:szCs w:val="20"/>
                <w:lang w:val="id-ID"/>
              </w:rPr>
              <w:t xml:space="preserve"> (N=1) jumlah instrumen </w:t>
            </w:r>
            <w:r w:rsidRPr="00D51D82">
              <w:rPr>
                <w:rFonts w:ascii="Calisto MT" w:eastAsia="Calibri" w:hAnsi="Calisto MT" w:cs="Arial"/>
                <w:sz w:val="18"/>
                <w:szCs w:val="20"/>
              </w:rPr>
              <w:t>30</w:t>
            </w:r>
            <w:r w:rsidRPr="00D51D82">
              <w:rPr>
                <w:rFonts w:ascii="Calisto MT" w:eastAsia="Calibri" w:hAnsi="Calisto MT" w:cs="Arial"/>
                <w:sz w:val="18"/>
                <w:szCs w:val="20"/>
                <w:lang w:val="id-ID"/>
              </w:rPr>
              <w:t xml:space="preserve"> butir  </w:t>
            </w:r>
          </w:p>
        </w:tc>
        <w:tc>
          <w:tcPr>
            <w:tcW w:w="1418" w:type="dxa"/>
            <w:tcBorders>
              <w:left w:val="nil"/>
              <w:bottom w:val="single" w:sz="4" w:space="0" w:color="000000"/>
              <w:right w:val="nil"/>
            </w:tcBorders>
          </w:tcPr>
          <w:p w:rsidR="00D51D82" w:rsidRPr="00D51D82" w:rsidRDefault="00D51D82" w:rsidP="00D51D82">
            <w:pPr>
              <w:spacing w:before="0" w:beforeAutospacing="0" w:after="0" w:afterAutospacing="0"/>
              <w:rPr>
                <w:rFonts w:ascii="Calisto MT" w:eastAsia="Calibri" w:hAnsi="Calisto MT" w:cs="Arial"/>
                <w:sz w:val="18"/>
                <w:szCs w:val="20"/>
                <w:lang w:val="id-ID"/>
              </w:rPr>
            </w:pPr>
            <w:r w:rsidRPr="00D51D82">
              <w:rPr>
                <w:rFonts w:ascii="Calisto MT" w:eastAsia="Calibri" w:hAnsi="Calisto MT" w:cs="Arial"/>
                <w:sz w:val="18"/>
                <w:szCs w:val="20"/>
                <w:lang w:val="id-ID"/>
              </w:rPr>
              <w:t>106</w:t>
            </w:r>
          </w:p>
          <w:p w:rsidR="00D51D82" w:rsidRPr="00D51D82" w:rsidRDefault="00D51D82" w:rsidP="00D51D82">
            <w:pPr>
              <w:spacing w:before="0" w:beforeAutospacing="0" w:after="0" w:afterAutospacing="0"/>
              <w:rPr>
                <w:rFonts w:ascii="Calisto MT" w:eastAsia="Calibri" w:hAnsi="Calisto MT" w:cs="Arial"/>
                <w:sz w:val="18"/>
                <w:szCs w:val="20"/>
              </w:rPr>
            </w:pP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r w:rsidRPr="00D51D82">
              <w:rPr>
                <w:rFonts w:ascii="Calisto MT" w:eastAsia="Calibri" w:hAnsi="Calisto MT" w:cs="Arial"/>
                <w:sz w:val="18"/>
                <w:szCs w:val="20"/>
                <w:lang w:val="id-ID"/>
              </w:rPr>
              <w:t>82</w:t>
            </w: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rPr>
            </w:pPr>
            <w:r w:rsidRPr="00D51D82">
              <w:rPr>
                <w:rFonts w:ascii="Calisto MT" w:eastAsia="Calibri" w:hAnsi="Calisto MT" w:cs="Arial"/>
                <w:sz w:val="18"/>
                <w:szCs w:val="20"/>
              </w:rPr>
              <w:t>97</w:t>
            </w:r>
          </w:p>
        </w:tc>
        <w:tc>
          <w:tcPr>
            <w:tcW w:w="992" w:type="dxa"/>
            <w:tcBorders>
              <w:left w:val="nil"/>
              <w:bottom w:val="single" w:sz="4" w:space="0" w:color="000000"/>
              <w:right w:val="nil"/>
            </w:tcBorders>
          </w:tcPr>
          <w:p w:rsidR="00D51D82" w:rsidRPr="00D51D82" w:rsidRDefault="00D51D82" w:rsidP="00D51D82">
            <w:pPr>
              <w:spacing w:before="0" w:beforeAutospacing="0" w:after="0" w:afterAutospacing="0"/>
              <w:rPr>
                <w:rFonts w:ascii="Calisto MT" w:eastAsia="Calibri" w:hAnsi="Calisto MT" w:cs="Arial"/>
                <w:sz w:val="18"/>
                <w:szCs w:val="20"/>
              </w:rPr>
            </w:pPr>
            <w:r w:rsidRPr="00D51D82">
              <w:rPr>
                <w:rFonts w:ascii="Calisto MT" w:eastAsia="Calibri" w:hAnsi="Calisto MT" w:cs="Arial"/>
                <w:sz w:val="18"/>
                <w:szCs w:val="20"/>
              </w:rPr>
              <w:t>33</w:t>
            </w:r>
          </w:p>
          <w:p w:rsidR="00D51D82" w:rsidRPr="00D51D82" w:rsidRDefault="00D51D82" w:rsidP="00D51D82">
            <w:pPr>
              <w:spacing w:before="0" w:beforeAutospacing="0" w:after="0" w:afterAutospacing="0"/>
              <w:rPr>
                <w:rFonts w:ascii="Calisto MT" w:eastAsia="Calibri" w:hAnsi="Calisto MT" w:cs="Arial"/>
                <w:sz w:val="18"/>
                <w:szCs w:val="20"/>
              </w:rPr>
            </w:pP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r w:rsidRPr="00D51D82">
              <w:rPr>
                <w:rFonts w:ascii="Calisto MT" w:eastAsia="Calibri" w:hAnsi="Calisto MT" w:cs="Arial"/>
                <w:sz w:val="18"/>
                <w:szCs w:val="20"/>
                <w:lang w:val="id-ID"/>
              </w:rPr>
              <w:t>23</w:t>
            </w: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r w:rsidRPr="00D51D82">
              <w:rPr>
                <w:rFonts w:ascii="Calisto MT" w:eastAsia="Calibri" w:hAnsi="Calisto MT" w:cs="Arial"/>
                <w:sz w:val="18"/>
                <w:szCs w:val="20"/>
                <w:lang w:val="id-ID"/>
              </w:rPr>
              <w:t>30</w:t>
            </w:r>
          </w:p>
        </w:tc>
        <w:tc>
          <w:tcPr>
            <w:tcW w:w="850" w:type="dxa"/>
            <w:tcBorders>
              <w:left w:val="nil"/>
              <w:bottom w:val="single" w:sz="4" w:space="0" w:color="000000"/>
              <w:right w:val="nil"/>
            </w:tcBorders>
          </w:tcPr>
          <w:p w:rsidR="00D51D82" w:rsidRPr="00D51D82" w:rsidRDefault="00D51D82" w:rsidP="00D51D82">
            <w:pPr>
              <w:spacing w:before="0" w:beforeAutospacing="0" w:after="0" w:afterAutospacing="0"/>
              <w:rPr>
                <w:rFonts w:ascii="Calisto MT" w:eastAsia="Calibri" w:hAnsi="Calisto MT" w:cs="Arial"/>
                <w:sz w:val="18"/>
                <w:szCs w:val="20"/>
              </w:rPr>
            </w:pPr>
            <w:r w:rsidRPr="00D51D82">
              <w:rPr>
                <w:rFonts w:ascii="Calisto MT" w:eastAsia="Calibri" w:hAnsi="Calisto MT" w:cs="Arial"/>
                <w:sz w:val="18"/>
                <w:szCs w:val="20"/>
              </w:rPr>
              <w:t>132</w:t>
            </w:r>
          </w:p>
          <w:p w:rsidR="00D51D82" w:rsidRPr="00D51D82" w:rsidRDefault="00D51D82" w:rsidP="00D51D82">
            <w:pPr>
              <w:spacing w:before="0" w:beforeAutospacing="0" w:after="0" w:afterAutospacing="0"/>
              <w:rPr>
                <w:rFonts w:ascii="Calisto MT" w:eastAsia="Calibri" w:hAnsi="Calisto MT" w:cs="Arial"/>
                <w:sz w:val="18"/>
                <w:szCs w:val="20"/>
              </w:rPr>
            </w:pP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r w:rsidRPr="00D51D82">
              <w:rPr>
                <w:rFonts w:ascii="Calisto MT" w:eastAsia="Calibri" w:hAnsi="Calisto MT" w:cs="Arial"/>
                <w:sz w:val="18"/>
                <w:szCs w:val="20"/>
                <w:lang w:val="id-ID"/>
              </w:rPr>
              <w:t>92</w:t>
            </w: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r w:rsidRPr="00D51D82">
              <w:rPr>
                <w:rFonts w:ascii="Calisto MT" w:eastAsia="Calibri" w:hAnsi="Calisto MT" w:cs="Arial"/>
                <w:sz w:val="18"/>
                <w:szCs w:val="20"/>
                <w:lang w:val="id-ID"/>
              </w:rPr>
              <w:t>120</w:t>
            </w:r>
          </w:p>
        </w:tc>
        <w:tc>
          <w:tcPr>
            <w:tcW w:w="1560" w:type="dxa"/>
            <w:tcBorders>
              <w:left w:val="nil"/>
              <w:bottom w:val="single" w:sz="4" w:space="0" w:color="000000"/>
              <w:right w:val="nil"/>
            </w:tcBorders>
          </w:tcPr>
          <w:p w:rsidR="00D51D82" w:rsidRPr="00D51D82" w:rsidRDefault="00D51D82" w:rsidP="00D51D82">
            <w:pPr>
              <w:spacing w:before="0" w:beforeAutospacing="0" w:after="0" w:afterAutospacing="0"/>
              <w:rPr>
                <w:rFonts w:ascii="Calisto MT" w:eastAsia="Calibri" w:hAnsi="Calisto MT" w:cs="Arial"/>
                <w:sz w:val="18"/>
                <w:szCs w:val="20"/>
                <w:lang w:val="id-ID"/>
              </w:rPr>
            </w:pPr>
            <w:r w:rsidRPr="00D51D82">
              <w:rPr>
                <w:rFonts w:ascii="Calisto MT" w:eastAsia="Calibri" w:hAnsi="Calisto MT" w:cs="Arial"/>
                <w:sz w:val="18"/>
                <w:szCs w:val="20"/>
              </w:rPr>
              <w:t>79,37</w:t>
            </w:r>
            <w:r w:rsidRPr="00D51D82">
              <w:rPr>
                <w:rFonts w:ascii="Calisto MT" w:eastAsia="Calibri" w:hAnsi="Calisto MT" w:cs="Arial"/>
                <w:sz w:val="18"/>
                <w:szCs w:val="20"/>
                <w:lang w:val="id-ID"/>
              </w:rPr>
              <w:t>%</w:t>
            </w:r>
          </w:p>
          <w:p w:rsidR="00D51D82" w:rsidRPr="00D51D82" w:rsidRDefault="00D51D82" w:rsidP="00D51D82">
            <w:pPr>
              <w:spacing w:before="0" w:beforeAutospacing="0" w:after="0" w:afterAutospacing="0"/>
              <w:rPr>
                <w:rFonts w:ascii="Calisto MT" w:eastAsia="Calibri" w:hAnsi="Calisto MT" w:cs="Arial"/>
                <w:sz w:val="18"/>
                <w:szCs w:val="20"/>
              </w:rPr>
            </w:pP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r w:rsidRPr="00D51D82">
              <w:rPr>
                <w:rFonts w:ascii="Calisto MT" w:eastAsia="Calibri" w:hAnsi="Calisto MT" w:cs="Arial"/>
                <w:sz w:val="18"/>
                <w:szCs w:val="20"/>
              </w:rPr>
              <w:t>93,75</w:t>
            </w:r>
            <w:r w:rsidRPr="00D51D82">
              <w:rPr>
                <w:rFonts w:ascii="Calisto MT" w:eastAsia="Calibri" w:hAnsi="Calisto MT" w:cs="Arial"/>
                <w:sz w:val="18"/>
                <w:szCs w:val="20"/>
                <w:lang w:val="id-ID"/>
              </w:rPr>
              <w:t xml:space="preserve"> %</w:t>
            </w: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p>
          <w:p w:rsidR="00D51D82" w:rsidRPr="00D51D82" w:rsidRDefault="00D51D82" w:rsidP="00D51D82">
            <w:pPr>
              <w:spacing w:before="0" w:beforeAutospacing="0" w:after="0" w:afterAutospacing="0"/>
              <w:rPr>
                <w:rFonts w:ascii="Calisto MT" w:eastAsia="Calibri" w:hAnsi="Calisto MT" w:cs="Arial"/>
                <w:sz w:val="18"/>
                <w:szCs w:val="20"/>
                <w:lang w:val="id-ID"/>
              </w:rPr>
            </w:pPr>
            <w:r w:rsidRPr="00D51D82">
              <w:rPr>
                <w:rFonts w:ascii="Calisto MT" w:eastAsia="Calibri" w:hAnsi="Calisto MT" w:cs="Arial"/>
                <w:sz w:val="18"/>
                <w:szCs w:val="20"/>
              </w:rPr>
              <w:t>79,86</w:t>
            </w:r>
            <w:r w:rsidRPr="00D51D82">
              <w:rPr>
                <w:rFonts w:ascii="Calisto MT" w:eastAsia="Calibri" w:hAnsi="Calisto MT" w:cs="Arial"/>
                <w:sz w:val="18"/>
                <w:szCs w:val="20"/>
                <w:lang w:val="id-ID"/>
              </w:rPr>
              <w:t>%</w:t>
            </w:r>
          </w:p>
        </w:tc>
      </w:tr>
      <w:tr w:rsidR="00D51D82" w:rsidRPr="00A40BEC" w:rsidTr="00807BBE">
        <w:trPr>
          <w:trHeight w:val="283"/>
        </w:trPr>
        <w:tc>
          <w:tcPr>
            <w:tcW w:w="567" w:type="dxa"/>
            <w:tcBorders>
              <w:left w:val="nil"/>
              <w:bottom w:val="single" w:sz="12" w:space="0" w:color="auto"/>
              <w:right w:val="nil"/>
            </w:tcBorders>
          </w:tcPr>
          <w:p w:rsidR="00D51D82" w:rsidRPr="00D51D82" w:rsidRDefault="00D51D82" w:rsidP="00D51D82">
            <w:pPr>
              <w:spacing w:before="0" w:beforeAutospacing="0" w:after="0" w:afterAutospacing="0"/>
              <w:rPr>
                <w:rFonts w:ascii="Calisto MT" w:eastAsia="Calibri" w:hAnsi="Calisto MT" w:cs="Arial"/>
                <w:b/>
                <w:sz w:val="18"/>
                <w:szCs w:val="20"/>
              </w:rPr>
            </w:pPr>
          </w:p>
        </w:tc>
        <w:tc>
          <w:tcPr>
            <w:tcW w:w="2410" w:type="dxa"/>
            <w:tcBorders>
              <w:left w:val="nil"/>
              <w:bottom w:val="single" w:sz="12" w:space="0" w:color="auto"/>
              <w:right w:val="nil"/>
            </w:tcBorders>
            <w:vAlign w:val="center"/>
          </w:tcPr>
          <w:p w:rsidR="00D51D82" w:rsidRPr="00D51D82" w:rsidRDefault="00D51D82" w:rsidP="00D51D82">
            <w:pPr>
              <w:spacing w:before="0" w:beforeAutospacing="0" w:after="0" w:afterAutospacing="0"/>
              <w:rPr>
                <w:rFonts w:ascii="Calisto MT" w:eastAsia="Calibri" w:hAnsi="Calisto MT" w:cs="Arial"/>
                <w:b/>
                <w:sz w:val="18"/>
                <w:szCs w:val="20"/>
                <w:lang w:val="id-ID"/>
              </w:rPr>
            </w:pPr>
            <w:r w:rsidRPr="00D51D82">
              <w:rPr>
                <w:rFonts w:ascii="Calisto MT" w:eastAsia="Calibri" w:hAnsi="Calisto MT" w:cs="Arial"/>
                <w:b/>
                <w:sz w:val="18"/>
                <w:szCs w:val="20"/>
              </w:rPr>
              <w:t>Jumlah</w:t>
            </w:r>
            <w:r w:rsidRPr="00D51D82">
              <w:rPr>
                <w:rFonts w:ascii="Calisto MT" w:eastAsia="Calibri" w:hAnsi="Calisto MT" w:cs="Arial"/>
                <w:b/>
                <w:sz w:val="18"/>
                <w:szCs w:val="20"/>
                <w:lang w:val="id-ID"/>
              </w:rPr>
              <w:t xml:space="preserve">   </w:t>
            </w:r>
          </w:p>
        </w:tc>
        <w:tc>
          <w:tcPr>
            <w:tcW w:w="3260" w:type="dxa"/>
            <w:gridSpan w:val="3"/>
            <w:tcBorders>
              <w:left w:val="nil"/>
              <w:bottom w:val="single" w:sz="12" w:space="0" w:color="auto"/>
              <w:right w:val="nil"/>
            </w:tcBorders>
            <w:vAlign w:val="center"/>
          </w:tcPr>
          <w:p w:rsidR="00D51D82" w:rsidRPr="00D51D82" w:rsidRDefault="00D51D82" w:rsidP="00D51D82">
            <w:pPr>
              <w:tabs>
                <w:tab w:val="left" w:pos="2585"/>
                <w:tab w:val="left" w:pos="2727"/>
              </w:tabs>
              <w:spacing w:before="0" w:beforeAutospacing="0" w:after="0" w:afterAutospacing="0"/>
              <w:ind w:left="176"/>
              <w:rPr>
                <w:rFonts w:ascii="Calisto MT" w:eastAsia="Calibri" w:hAnsi="Calisto MT" w:cs="Arial"/>
                <w:b/>
                <w:sz w:val="18"/>
                <w:szCs w:val="20"/>
                <w:lang w:val="id-ID"/>
              </w:rPr>
            </w:pPr>
            <w:r w:rsidRPr="00D51D82">
              <w:rPr>
                <w:rFonts w:ascii="Calisto MT" w:eastAsia="Calibri" w:hAnsi="Calisto MT" w:cs="Arial"/>
                <w:b/>
                <w:sz w:val="18"/>
                <w:szCs w:val="20"/>
              </w:rPr>
              <w:t>285</w:t>
            </w:r>
            <w:r w:rsidRPr="00D51D82">
              <w:rPr>
                <w:rFonts w:ascii="Calisto MT" w:eastAsia="Calibri" w:hAnsi="Calisto MT" w:cs="Arial"/>
                <w:b/>
                <w:sz w:val="18"/>
                <w:szCs w:val="20"/>
                <w:lang w:val="id-ID"/>
              </w:rPr>
              <w:t xml:space="preserve"> </w:t>
            </w:r>
            <w:r w:rsidRPr="00D51D82">
              <w:rPr>
                <w:rFonts w:ascii="Calisto MT" w:eastAsia="Calibri" w:hAnsi="Calisto MT" w:cs="Arial"/>
                <w:b/>
                <w:sz w:val="18"/>
                <w:szCs w:val="20"/>
              </w:rPr>
              <w:t xml:space="preserve">   </w:t>
            </w:r>
            <w:r w:rsidRPr="00D51D82">
              <w:rPr>
                <w:rFonts w:ascii="Calisto MT" w:eastAsia="Calibri" w:hAnsi="Calisto MT" w:cs="Arial"/>
                <w:b/>
                <w:sz w:val="18"/>
                <w:szCs w:val="20"/>
                <w:lang w:val="id-ID"/>
              </w:rPr>
              <w:t xml:space="preserve">        </w:t>
            </w:r>
            <w:r w:rsidRPr="00D51D82">
              <w:rPr>
                <w:rFonts w:ascii="Calisto MT" w:eastAsia="Calibri" w:hAnsi="Calisto MT" w:cs="Arial"/>
                <w:b/>
                <w:sz w:val="18"/>
                <w:szCs w:val="20"/>
              </w:rPr>
              <w:t xml:space="preserve">       </w:t>
            </w:r>
            <w:r w:rsidRPr="00D51D82">
              <w:rPr>
                <w:rFonts w:ascii="Calisto MT" w:eastAsia="Calibri" w:hAnsi="Calisto MT" w:cs="Arial"/>
                <w:b/>
                <w:sz w:val="18"/>
                <w:szCs w:val="20"/>
                <w:lang w:val="id-ID"/>
              </w:rPr>
              <w:t xml:space="preserve">86        </w:t>
            </w:r>
            <w:r w:rsidRPr="00D51D82">
              <w:rPr>
                <w:rFonts w:ascii="Calisto MT" w:eastAsia="Calibri" w:hAnsi="Calisto MT" w:cs="Arial"/>
                <w:b/>
                <w:sz w:val="18"/>
                <w:szCs w:val="20"/>
              </w:rPr>
              <w:t xml:space="preserve">        </w:t>
            </w:r>
            <w:r w:rsidRPr="00D51D82">
              <w:rPr>
                <w:rFonts w:ascii="Calisto MT" w:eastAsia="Calibri" w:hAnsi="Calisto MT" w:cs="Arial"/>
                <w:b/>
                <w:sz w:val="18"/>
                <w:szCs w:val="20"/>
                <w:lang w:val="id-ID"/>
              </w:rPr>
              <w:t>344</w:t>
            </w:r>
          </w:p>
        </w:tc>
        <w:tc>
          <w:tcPr>
            <w:tcW w:w="1560" w:type="dxa"/>
            <w:tcBorders>
              <w:left w:val="nil"/>
              <w:bottom w:val="single" w:sz="12" w:space="0" w:color="auto"/>
              <w:right w:val="nil"/>
            </w:tcBorders>
            <w:vAlign w:val="center"/>
          </w:tcPr>
          <w:p w:rsidR="00D51D82" w:rsidRPr="00D51D82" w:rsidRDefault="00D51D82" w:rsidP="00D51D82">
            <w:pPr>
              <w:spacing w:before="0" w:beforeAutospacing="0" w:after="0" w:afterAutospacing="0"/>
              <w:rPr>
                <w:rFonts w:ascii="Calisto MT" w:eastAsia="Calibri" w:hAnsi="Calisto MT" w:cs="Arial"/>
                <w:b/>
                <w:sz w:val="18"/>
                <w:szCs w:val="20"/>
              </w:rPr>
            </w:pPr>
            <w:r w:rsidRPr="00D51D82">
              <w:rPr>
                <w:rFonts w:ascii="Calisto MT" w:eastAsia="Calibri" w:hAnsi="Calisto MT" w:cs="Arial"/>
                <w:b/>
                <w:sz w:val="18"/>
                <w:szCs w:val="20"/>
                <w:lang w:val="id-ID"/>
              </w:rPr>
              <w:t xml:space="preserve">  </w:t>
            </w:r>
            <w:r w:rsidRPr="00D51D82">
              <w:rPr>
                <w:rFonts w:ascii="Calisto MT" w:eastAsia="Calibri" w:hAnsi="Calisto MT" w:cs="Arial"/>
                <w:b/>
                <w:sz w:val="18"/>
                <w:szCs w:val="20"/>
              </w:rPr>
              <w:t>84,054%</w:t>
            </w:r>
          </w:p>
        </w:tc>
      </w:tr>
    </w:tbl>
    <w:p w:rsidR="00D51D82" w:rsidRDefault="00D51D82" w:rsidP="00D51D82">
      <w:pPr>
        <w:spacing w:before="0" w:beforeAutospacing="0" w:after="0" w:afterAutospacing="0"/>
        <w:ind w:firstLine="624"/>
        <w:jc w:val="both"/>
        <w:rPr>
          <w:rFonts w:ascii="Calisto MT" w:hAnsi="Calisto MT" w:cs="Arial"/>
          <w:sz w:val="20"/>
        </w:rPr>
      </w:pPr>
    </w:p>
    <w:p w:rsidR="002D2F90" w:rsidRDefault="00D51D82" w:rsidP="002D2F90">
      <w:pPr>
        <w:spacing w:before="0" w:beforeAutospacing="0" w:after="0" w:afterAutospacing="0"/>
        <w:ind w:firstLine="624"/>
        <w:jc w:val="both"/>
        <w:rPr>
          <w:rFonts w:ascii="Calisto MT" w:hAnsi="Calisto MT" w:cs="Arial"/>
        </w:rPr>
      </w:pPr>
      <w:r w:rsidRPr="00D51D82">
        <w:rPr>
          <w:rFonts w:ascii="Calisto MT" w:hAnsi="Calisto MT" w:cs="Arial"/>
          <w:sz w:val="20"/>
        </w:rPr>
        <w:t xml:space="preserve">Berdasarkan hasil evaluasi ahli media dapat disimpulkan bahwa produk pengembangan permainan gerak dasar </w:t>
      </w:r>
      <w:proofErr w:type="spellStart"/>
      <w:r w:rsidRPr="00D51D82">
        <w:rPr>
          <w:rFonts w:ascii="Calisto MT" w:hAnsi="Calisto MT" w:cs="Arial"/>
          <w:sz w:val="20"/>
        </w:rPr>
        <w:t>lokomotor</w:t>
      </w:r>
      <w:proofErr w:type="spellEnd"/>
      <w:r w:rsidRPr="00D51D82">
        <w:rPr>
          <w:rFonts w:ascii="Calisto MT" w:hAnsi="Calisto MT" w:cs="Arial"/>
          <w:sz w:val="20"/>
        </w:rPr>
        <w:t xml:space="preserve"> dan manipulatif pada siswa kelas III SDN Bareng 3 Kota Malang sesuai dan dapat digunakan dalam pembelajaran yaitu dengan persentase 79,37%, sehingga produk pengembangan permainan gerak dasar </w:t>
      </w:r>
      <w:proofErr w:type="spellStart"/>
      <w:r w:rsidRPr="00D51D82">
        <w:rPr>
          <w:rFonts w:ascii="Calisto MT" w:hAnsi="Calisto MT" w:cs="Arial"/>
          <w:sz w:val="20"/>
        </w:rPr>
        <w:t>lokomotor</w:t>
      </w:r>
      <w:proofErr w:type="spellEnd"/>
      <w:r w:rsidRPr="00D51D82">
        <w:rPr>
          <w:rFonts w:ascii="Calisto MT" w:hAnsi="Calisto MT" w:cs="Arial"/>
          <w:sz w:val="20"/>
        </w:rPr>
        <w:t xml:space="preserve"> dan manipulatif ini dapat dijadikan guru sebagai bahan ajar.</w:t>
      </w:r>
    </w:p>
    <w:p w:rsidR="002D2F90" w:rsidRPr="002D2F90" w:rsidRDefault="00D51D82" w:rsidP="002D2F90">
      <w:pPr>
        <w:spacing w:before="0" w:beforeAutospacing="0" w:after="0" w:afterAutospacing="0"/>
        <w:ind w:firstLine="624"/>
        <w:jc w:val="both"/>
        <w:rPr>
          <w:rFonts w:ascii="Calisto MT" w:hAnsi="Calisto MT" w:cs="Arial"/>
        </w:rPr>
      </w:pPr>
      <w:r w:rsidRPr="00D51D82">
        <w:rPr>
          <w:rFonts w:ascii="Calisto MT" w:hAnsi="Calisto MT" w:cs="Arial"/>
          <w:sz w:val="20"/>
          <w:szCs w:val="20"/>
        </w:rPr>
        <w:t xml:space="preserve">Berdasarkan hasil evaluasi dari ahli pembelajaran dapat disimpulkan bahwa produk pengembangan permainan gerak dasar </w:t>
      </w:r>
      <w:proofErr w:type="spellStart"/>
      <w:r w:rsidRPr="00D51D82">
        <w:rPr>
          <w:rFonts w:ascii="Calisto MT" w:hAnsi="Calisto MT" w:cs="Arial"/>
          <w:sz w:val="20"/>
          <w:szCs w:val="20"/>
        </w:rPr>
        <w:t>lokomotor</w:t>
      </w:r>
      <w:proofErr w:type="spellEnd"/>
      <w:r w:rsidRPr="00D51D82">
        <w:rPr>
          <w:rFonts w:ascii="Calisto MT" w:hAnsi="Calisto MT" w:cs="Arial"/>
          <w:sz w:val="20"/>
          <w:szCs w:val="20"/>
        </w:rPr>
        <w:t xml:space="preserve"> dan manipulatif pada siswa kelas III SDN Bareng 3 Kota Malang sesuai dan dapat digunakan dalam pembelajaran yaitu dengan persentase 93,75%, sehingga produk pengembangan permainan gerak dasar </w:t>
      </w:r>
      <w:proofErr w:type="spellStart"/>
      <w:r w:rsidRPr="00D51D82">
        <w:rPr>
          <w:rFonts w:ascii="Calisto MT" w:hAnsi="Calisto MT" w:cs="Arial"/>
          <w:sz w:val="20"/>
          <w:szCs w:val="20"/>
        </w:rPr>
        <w:t>lokomotor</w:t>
      </w:r>
      <w:proofErr w:type="spellEnd"/>
      <w:r w:rsidRPr="00D51D82">
        <w:rPr>
          <w:rFonts w:ascii="Calisto MT" w:hAnsi="Calisto MT" w:cs="Arial"/>
          <w:sz w:val="20"/>
          <w:szCs w:val="20"/>
        </w:rPr>
        <w:t xml:space="preserve"> dan manipulatif ini dapat dijadikan guru sebagai bahan ajar.</w:t>
      </w:r>
    </w:p>
    <w:p w:rsidR="00D51D82" w:rsidRPr="00D51D82" w:rsidRDefault="00D51D82" w:rsidP="002D2F90">
      <w:pPr>
        <w:spacing w:before="0" w:beforeAutospacing="0" w:after="0" w:afterAutospacing="0"/>
        <w:ind w:firstLine="624"/>
        <w:jc w:val="both"/>
        <w:rPr>
          <w:rFonts w:ascii="Calisto MT" w:hAnsi="Calisto MT" w:cs="Arial"/>
          <w:sz w:val="20"/>
          <w:szCs w:val="20"/>
        </w:rPr>
      </w:pPr>
      <w:r w:rsidRPr="00D51D82">
        <w:rPr>
          <w:rFonts w:ascii="Calisto MT" w:hAnsi="Calisto MT" w:cs="Arial"/>
          <w:sz w:val="20"/>
          <w:szCs w:val="20"/>
        </w:rPr>
        <w:t xml:space="preserve">Berdasarkan data hasil evaluasi ahli permainan dapat disimpulkan bahwa produk pengembangan permainan gerak dasar </w:t>
      </w:r>
      <w:proofErr w:type="spellStart"/>
      <w:r w:rsidRPr="00D51D82">
        <w:rPr>
          <w:rFonts w:ascii="Calisto MT" w:hAnsi="Calisto MT" w:cs="Arial"/>
          <w:sz w:val="20"/>
          <w:szCs w:val="20"/>
        </w:rPr>
        <w:t>lokomotor</w:t>
      </w:r>
      <w:proofErr w:type="spellEnd"/>
      <w:r w:rsidRPr="00D51D82">
        <w:rPr>
          <w:rFonts w:ascii="Calisto MT" w:hAnsi="Calisto MT" w:cs="Arial"/>
          <w:sz w:val="20"/>
          <w:szCs w:val="20"/>
        </w:rPr>
        <w:t xml:space="preserve"> dan manipulatif pada siswa kelas III SDN Bareng 3 Kota Malang sangat menarik dan mudah dimainkan yaitu dengan persentase 79,86%, sehingga produk </w:t>
      </w:r>
      <w:r w:rsidRPr="00D51D82">
        <w:rPr>
          <w:rFonts w:ascii="Calisto MT" w:hAnsi="Calisto MT" w:cs="Arial"/>
          <w:sz w:val="20"/>
          <w:szCs w:val="20"/>
        </w:rPr>
        <w:lastRenderedPageBreak/>
        <w:t xml:space="preserve">pengembangan permainan gerak dasar </w:t>
      </w:r>
      <w:proofErr w:type="spellStart"/>
      <w:r w:rsidRPr="00D51D82">
        <w:rPr>
          <w:rFonts w:ascii="Calisto MT" w:hAnsi="Calisto MT" w:cs="Arial"/>
          <w:sz w:val="20"/>
          <w:szCs w:val="20"/>
        </w:rPr>
        <w:t>lokomotor</w:t>
      </w:r>
      <w:proofErr w:type="spellEnd"/>
      <w:r w:rsidRPr="00D51D82">
        <w:rPr>
          <w:rFonts w:ascii="Calisto MT" w:hAnsi="Calisto MT" w:cs="Arial"/>
          <w:sz w:val="20"/>
          <w:szCs w:val="20"/>
        </w:rPr>
        <w:t xml:space="preserve"> dan manipulatif ini dapat dijadikan guru sebagai bahan ajar.</w:t>
      </w:r>
    </w:p>
    <w:p w:rsidR="00D51D82" w:rsidRPr="00D51D82" w:rsidRDefault="00D51D82" w:rsidP="002D2F90">
      <w:pPr>
        <w:spacing w:before="0" w:beforeAutospacing="0" w:after="0" w:afterAutospacing="0"/>
        <w:ind w:firstLine="624"/>
        <w:jc w:val="both"/>
        <w:rPr>
          <w:rFonts w:ascii="Calisto MT" w:hAnsi="Calisto MT" w:cs="Times New Roman"/>
          <w:sz w:val="20"/>
          <w:szCs w:val="20"/>
        </w:rPr>
      </w:pPr>
      <w:r w:rsidRPr="00D51D82">
        <w:rPr>
          <w:rFonts w:ascii="Calisto MT" w:hAnsi="Calisto MT" w:cs="Arial"/>
          <w:sz w:val="20"/>
          <w:szCs w:val="20"/>
        </w:rPr>
        <w:t xml:space="preserve">Berdasarkan </w:t>
      </w:r>
      <w:r w:rsidRPr="00D51D82">
        <w:rPr>
          <w:rFonts w:ascii="Calisto MT" w:hAnsi="Calisto MT" w:cs="Arial"/>
          <w:sz w:val="20"/>
          <w:szCs w:val="20"/>
          <w:lang w:val="id-ID"/>
        </w:rPr>
        <w:t xml:space="preserve">hasil </w:t>
      </w:r>
      <w:r w:rsidRPr="00D51D82">
        <w:rPr>
          <w:rFonts w:ascii="Calisto MT" w:hAnsi="Calisto MT" w:cs="Arial"/>
          <w:sz w:val="20"/>
          <w:szCs w:val="20"/>
        </w:rPr>
        <w:t xml:space="preserve">uji coba kelompok kecil dapat disimpulkan bahwa produk pengembangan permainan gerak dasar </w:t>
      </w:r>
      <w:proofErr w:type="spellStart"/>
      <w:r w:rsidRPr="00D51D82">
        <w:rPr>
          <w:rFonts w:ascii="Calisto MT" w:hAnsi="Calisto MT" w:cs="Arial"/>
          <w:sz w:val="20"/>
          <w:szCs w:val="20"/>
        </w:rPr>
        <w:t>lokomotor</w:t>
      </w:r>
      <w:proofErr w:type="spellEnd"/>
      <w:r w:rsidRPr="00D51D82">
        <w:rPr>
          <w:rFonts w:ascii="Calisto MT" w:hAnsi="Calisto MT" w:cs="Arial"/>
          <w:sz w:val="20"/>
          <w:szCs w:val="20"/>
        </w:rPr>
        <w:t xml:space="preserve"> dan manipulatif pada siswa kelas III SDN Bareng 3 Kota Malang, sesuai dengan pembelajaran gerak dasar untuk siswa kelas III Sekolah Dasar. Dari hasil</w:t>
      </w:r>
      <w:r w:rsidRPr="00D51D82">
        <w:rPr>
          <w:rFonts w:ascii="Calisto MT" w:hAnsi="Calisto MT" w:cs="Arial"/>
          <w:sz w:val="20"/>
          <w:szCs w:val="20"/>
          <w:lang w:val="id-ID"/>
        </w:rPr>
        <w:t xml:space="preserve"> evaluasi</w:t>
      </w:r>
      <w:r w:rsidRPr="00D51D82">
        <w:rPr>
          <w:rFonts w:ascii="Calisto MT" w:hAnsi="Calisto MT" w:cs="Arial"/>
          <w:sz w:val="20"/>
          <w:szCs w:val="20"/>
        </w:rPr>
        <w:t xml:space="preserve"> uji coba kelompok kecil diperoleh persentase sebesar 96</w:t>
      </w:r>
      <w:proofErr w:type="gramStart"/>
      <w:r w:rsidRPr="00D51D82">
        <w:rPr>
          <w:rFonts w:ascii="Calisto MT" w:hAnsi="Calisto MT" w:cs="Arial"/>
          <w:sz w:val="20"/>
          <w:szCs w:val="20"/>
        </w:rPr>
        <w:t>,04</w:t>
      </w:r>
      <w:proofErr w:type="gramEnd"/>
      <w:r w:rsidRPr="00D51D82">
        <w:rPr>
          <w:rFonts w:ascii="Calisto MT" w:hAnsi="Calisto MT" w:cs="Arial"/>
          <w:sz w:val="20"/>
          <w:szCs w:val="20"/>
        </w:rPr>
        <w:t xml:space="preserve">%, sehingga produk pengembangan permainan gerak dasar </w:t>
      </w:r>
      <w:proofErr w:type="spellStart"/>
      <w:r w:rsidRPr="00D51D82">
        <w:rPr>
          <w:rFonts w:ascii="Calisto MT" w:hAnsi="Calisto MT" w:cs="Arial"/>
          <w:sz w:val="20"/>
          <w:szCs w:val="20"/>
        </w:rPr>
        <w:t>lokomotor</w:t>
      </w:r>
      <w:proofErr w:type="spellEnd"/>
      <w:r w:rsidRPr="00D51D82">
        <w:rPr>
          <w:rFonts w:ascii="Calisto MT" w:hAnsi="Calisto MT" w:cs="Arial"/>
          <w:sz w:val="20"/>
          <w:szCs w:val="20"/>
        </w:rPr>
        <w:t xml:space="preserve"> dan manipulatif ini layak untuk </w:t>
      </w:r>
      <w:proofErr w:type="spellStart"/>
      <w:r w:rsidRPr="00D51D82">
        <w:rPr>
          <w:rFonts w:ascii="Calisto MT" w:hAnsi="Calisto MT" w:cs="Arial"/>
          <w:sz w:val="20"/>
          <w:szCs w:val="20"/>
        </w:rPr>
        <w:t>diujicobakan</w:t>
      </w:r>
      <w:proofErr w:type="spellEnd"/>
      <w:r w:rsidRPr="00D51D82">
        <w:rPr>
          <w:rFonts w:ascii="Calisto MT" w:hAnsi="Calisto MT" w:cs="Arial"/>
          <w:sz w:val="20"/>
          <w:szCs w:val="20"/>
        </w:rPr>
        <w:t xml:space="preserve"> pada kelompok besar</w:t>
      </w:r>
      <w:r w:rsidRPr="00D51D82">
        <w:rPr>
          <w:rFonts w:ascii="Calisto MT" w:hAnsi="Calisto MT" w:cs="Times New Roman"/>
          <w:sz w:val="20"/>
          <w:szCs w:val="20"/>
        </w:rPr>
        <w:t>.</w:t>
      </w:r>
    </w:p>
    <w:p w:rsidR="00D51D82" w:rsidRPr="00D51D82" w:rsidRDefault="00D51D82" w:rsidP="002D2F90">
      <w:pPr>
        <w:pStyle w:val="ListParagraph"/>
        <w:spacing w:after="0" w:line="240" w:lineRule="auto"/>
        <w:ind w:left="-57" w:firstLine="624"/>
        <w:jc w:val="both"/>
        <w:rPr>
          <w:rFonts w:ascii="Calisto MT" w:hAnsi="Calisto MT"/>
          <w:sz w:val="20"/>
          <w:szCs w:val="20"/>
        </w:rPr>
      </w:pPr>
      <w:r w:rsidRPr="00D51D82">
        <w:rPr>
          <w:rFonts w:ascii="Calisto MT" w:hAnsi="Calisto MT" w:cs="Arial"/>
          <w:sz w:val="20"/>
          <w:szCs w:val="20"/>
        </w:rPr>
        <w:t>Berdasarkan hasil evaluasi uji coba kelompok besar dapat disimpulkan bahwa produk pengembangan permainan gerak dasar lokomotor dan manipulatif pada siswa kelas III SDN Bareng 3 Kota Malang, sesuai dengan pembelajaran gerak dasar untuk siswa kelas III Sekolah Dasar. Dari hasil uji coba kelompok besar diperoleh persentase sebesar 95,97%, sehingga produk pengembangan permainan gerak dasar lokomotor dan manipulatif ini layak digunakan dalam pembelajaran</w:t>
      </w:r>
      <w:r w:rsidRPr="00D51D82">
        <w:rPr>
          <w:rFonts w:ascii="Calisto MT" w:hAnsi="Calisto MT"/>
          <w:sz w:val="20"/>
          <w:szCs w:val="20"/>
        </w:rPr>
        <w:t>.</w:t>
      </w:r>
    </w:p>
    <w:p w:rsidR="00980522" w:rsidRDefault="00980522" w:rsidP="00980522">
      <w:pPr>
        <w:pStyle w:val="Heading4"/>
        <w:spacing w:line="240" w:lineRule="auto"/>
        <w:ind w:firstLine="0"/>
        <w:rPr>
          <w:b/>
          <w:lang w:val="en-US"/>
        </w:rPr>
      </w:pPr>
    </w:p>
    <w:p w:rsidR="00980522" w:rsidRDefault="00980522" w:rsidP="00980522">
      <w:pPr>
        <w:pStyle w:val="Heading4"/>
        <w:spacing w:line="240" w:lineRule="auto"/>
        <w:ind w:firstLine="0"/>
        <w:rPr>
          <w:b/>
          <w:lang w:val="en-US"/>
        </w:rPr>
      </w:pPr>
    </w:p>
    <w:p w:rsidR="007A2E34" w:rsidRPr="007A2E34" w:rsidRDefault="007A2E34" w:rsidP="007A2E34">
      <w:pPr>
        <w:sectPr w:rsidR="007A2E34" w:rsidRPr="007A2E34" w:rsidSect="00980522">
          <w:type w:val="continuous"/>
          <w:pgSz w:w="11907" w:h="16839" w:code="9"/>
          <w:pgMar w:top="1701" w:right="1701" w:bottom="1701" w:left="1701" w:header="720" w:footer="720" w:gutter="0"/>
          <w:cols w:space="387"/>
          <w:docGrid w:linePitch="360"/>
        </w:sectPr>
      </w:pPr>
    </w:p>
    <w:p w:rsidR="00980522" w:rsidRPr="0012440E" w:rsidRDefault="00980522" w:rsidP="00980522">
      <w:pPr>
        <w:pStyle w:val="Heading4"/>
        <w:spacing w:line="240" w:lineRule="auto"/>
        <w:ind w:firstLine="0"/>
        <w:rPr>
          <w:b/>
          <w:lang w:val="en-US"/>
        </w:rPr>
      </w:pPr>
      <w:r>
        <w:rPr>
          <w:b/>
          <w:lang w:val="en-US"/>
        </w:rPr>
        <w:lastRenderedPageBreak/>
        <w:t>PEMBAHASAN</w:t>
      </w:r>
    </w:p>
    <w:p w:rsidR="001C447C" w:rsidRDefault="001C447C" w:rsidP="00B153FA">
      <w:pPr>
        <w:pStyle w:val="Heading4"/>
        <w:ind w:firstLine="0"/>
        <w:rPr>
          <w:lang w:val="en-AU"/>
        </w:rPr>
      </w:pPr>
    </w:p>
    <w:p w:rsidR="001C447C" w:rsidRPr="00B153FA" w:rsidRDefault="001C447C" w:rsidP="00B153FA">
      <w:pPr>
        <w:pStyle w:val="Heading2"/>
        <w:spacing w:line="240" w:lineRule="auto"/>
        <w:ind w:firstLine="567"/>
        <w:rPr>
          <w:rFonts w:cs="Arial"/>
          <w:b w:val="0"/>
          <w:caps w:val="0"/>
        </w:rPr>
      </w:pPr>
      <w:r w:rsidRPr="00B153FA">
        <w:rPr>
          <w:rFonts w:cs="Arial"/>
          <w:b w:val="0"/>
          <w:caps w:val="0"/>
          <w:lang w:val="id-ID"/>
        </w:rPr>
        <w:t>P</w:t>
      </w:r>
      <w:r w:rsidRPr="00B153FA">
        <w:rPr>
          <w:rFonts w:cs="Arial"/>
          <w:b w:val="0"/>
          <w:caps w:val="0"/>
        </w:rPr>
        <w:t>roduk dari penelitian dan pengembangan ini yaitu berupa buku panduan yang berisikan macam-macam permainan yang terdiri dari gerakan lokomotor dan manipulatif untuk kelas III sekolah dasar. Buku panduan ini dilakukan oleh siswa kelas III SDN Bareng 3 kota malang dengan tujuan dapat membantu siswa dalam meningkatkan keterampilan serta lebih mudah untuk memahami materi gerak dasar lokomotor dan manipulatif. Permainan gerak dasar lokomotor dan manipulatif disusun sesuai dengan perkembangan gerak anak usia sekolah dasar. Buku panduan permainan gerak dasar lokomotor dan manipulatif ini disusun dan disesuaikan berdasarkan kebutuhan. Dengan adanya pengembangan permainan gerak dasar lokomotor dan manipulatif tujuan pembelajaran pendidikan jasmani dan kesehatan dapat tercapai dengan baik.</w:t>
      </w:r>
    </w:p>
    <w:p w:rsidR="001C447C" w:rsidRPr="00B153FA" w:rsidRDefault="001C447C" w:rsidP="00B153FA">
      <w:pPr>
        <w:spacing w:before="0" w:beforeAutospacing="0" w:after="0" w:afterAutospacing="0"/>
        <w:ind w:left="0" w:firstLine="567"/>
        <w:jc w:val="both"/>
        <w:rPr>
          <w:rFonts w:ascii="Calisto MT" w:hAnsi="Calisto MT" w:cs="Arial"/>
          <w:sz w:val="20"/>
          <w:szCs w:val="20"/>
        </w:rPr>
      </w:pPr>
      <w:r w:rsidRPr="00B153FA">
        <w:rPr>
          <w:rFonts w:ascii="Calisto MT" w:hAnsi="Calisto MT" w:cs="Arial"/>
          <w:sz w:val="20"/>
          <w:szCs w:val="20"/>
        </w:rPr>
        <w:t xml:space="preserve">Berdasarkan pengumpulan data dari penelitian dan pengembangan ini </w:t>
      </w:r>
      <w:proofErr w:type="gramStart"/>
      <w:r w:rsidRPr="00B153FA">
        <w:rPr>
          <w:rFonts w:ascii="Calisto MT" w:hAnsi="Calisto MT" w:cs="Arial"/>
          <w:sz w:val="20"/>
          <w:szCs w:val="20"/>
        </w:rPr>
        <w:t>akan</w:t>
      </w:r>
      <w:proofErr w:type="gramEnd"/>
      <w:r w:rsidRPr="00B153FA">
        <w:rPr>
          <w:rFonts w:ascii="Calisto MT" w:hAnsi="Calisto MT" w:cs="Arial"/>
          <w:sz w:val="20"/>
          <w:szCs w:val="20"/>
        </w:rPr>
        <w:t xml:space="preserve"> disajikan data tentang analisis kebutuhan, evaluasi para ahli, uji coba kelompok kecil dan kelompok besar untuk memperoleh data. Untuk itu peneliti menggunakan metode pengumpulan data dengan instrumen dalam bentuk angket atau kuesioner. Hasil tersebut sebagai berikut.</w:t>
      </w:r>
    </w:p>
    <w:p w:rsidR="001C447C" w:rsidRPr="00B153FA" w:rsidRDefault="001C447C" w:rsidP="00B153FA">
      <w:pPr>
        <w:spacing w:before="0" w:beforeAutospacing="0" w:after="0" w:afterAutospacing="0"/>
        <w:ind w:left="0" w:firstLine="567"/>
        <w:jc w:val="both"/>
        <w:rPr>
          <w:rFonts w:ascii="Calisto MT" w:hAnsi="Calisto MT" w:cs="Arial"/>
          <w:sz w:val="20"/>
          <w:szCs w:val="20"/>
        </w:rPr>
      </w:pPr>
      <w:r w:rsidRPr="00B153FA">
        <w:rPr>
          <w:rFonts w:ascii="Calisto MT" w:hAnsi="Calisto MT" w:cs="Arial"/>
          <w:sz w:val="20"/>
          <w:szCs w:val="20"/>
        </w:rPr>
        <w:t xml:space="preserve">Hasil studi pendahuluan terhadap guru pendidikan jasmani dan kesehatan yaitu: dalam proses pembelajaran pendidikan jasmani siswa lebih suka menggunakan metode permainan, kurangnya materi saat pembelajaran pendidikan jasmani dalam bentuk permainan, gerak dasar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dijadikan dasar peserta didik untuk mengembangkan kemampuan daya tahan dan stamina sedangkan gerak manipulatif adalah dasar dari olahraga permainan, permainan yang biasanya digunakan oleh guru saat proses pembelajaran gerak dasar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dan manipulatif </w:t>
      </w:r>
      <w:proofErr w:type="spellStart"/>
      <w:r w:rsidRPr="00B153FA">
        <w:rPr>
          <w:rFonts w:ascii="Calisto MT" w:hAnsi="Calisto MT" w:cs="Arial"/>
          <w:sz w:val="20"/>
          <w:szCs w:val="20"/>
        </w:rPr>
        <w:t>galasin</w:t>
      </w:r>
      <w:proofErr w:type="spellEnd"/>
      <w:r w:rsidRPr="00B153FA">
        <w:rPr>
          <w:rFonts w:ascii="Calisto MT" w:hAnsi="Calisto MT" w:cs="Arial"/>
          <w:sz w:val="20"/>
          <w:szCs w:val="20"/>
        </w:rPr>
        <w:t xml:space="preserve">, kasti, sabuk hijau, bintang beralih, hitam hijau, bowling kelapa, kesulitan guru saat mengajarkan gerak dasar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dan manipulatif  karena waktu pembelajaran yang lumayan lama untuk siswa kelas 3 dan materi tentang gerak dasar juga banyak, sedangkan kemampuan untuk mengembangkan pembelajaran pada buku tematik terbatas, model olahraga dalam bentuk permainan sangat dibutuhkan bagi guru pendidikan jasmani olahraga dan kesehatan dalam pembelajaran. Sedangkan hasil studi pendahuluan terhadap siswa kelas III SDN Bareng 3 Kota Malang diperoleh hasil  13 siswa (43,33%) sulit mempraktikkan gerak dasar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15 siswa (50%) sulit mempraktikkan gerak dasar manipulatif, 19 siswa (63,33%) permainan yang diberikan oleh guru kurang bervariasi, 26 siswa (86,66%) jenuh dengan materi yang diberikan oleh guru, 30 siswa (100%) membutuhkan pengembangan permainan gerak dasar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dan manipulatif, 30 siswa (100%) setuju dengan adanya pengembangan permainan gerak dasar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dan manipulatif.</w:t>
      </w:r>
    </w:p>
    <w:p w:rsidR="001C447C" w:rsidRPr="00B153FA" w:rsidRDefault="001C447C" w:rsidP="00B153FA">
      <w:pPr>
        <w:spacing w:before="0" w:beforeAutospacing="0" w:after="0" w:afterAutospacing="0"/>
        <w:ind w:left="0" w:firstLine="567"/>
        <w:jc w:val="both"/>
        <w:rPr>
          <w:rFonts w:ascii="Calisto MT" w:hAnsi="Calisto MT" w:cs="Arial"/>
          <w:sz w:val="20"/>
          <w:szCs w:val="20"/>
        </w:rPr>
      </w:pPr>
      <w:r w:rsidRPr="00B153FA">
        <w:rPr>
          <w:rFonts w:ascii="Calisto MT" w:hAnsi="Calisto MT" w:cs="Arial"/>
          <w:sz w:val="20"/>
          <w:szCs w:val="20"/>
        </w:rPr>
        <w:t xml:space="preserve">Saran dan masukan secara keseluruhan dari para ahli terhadap produk pengembangan permainan gerak dasar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dan manipulatif sebagai berikut: (1) Kualitas cetak diperbaiki, (2) Kata pengantar lebih spesifik lagi, ditujukan kepada siswa/guru, (3) Logo UM seharusnya di pojok kiri atas, bukan di tengah, (4) Desain buku cukup di bawah, (5) Pengertian gerak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dan manipulatif harus lebih jelas lagi dan diringkas, (6) Untuk gerak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ditambahkan gerakannya, (7) Untuk gerak manipulatif ditambahkan gerakannya, (8) Pengertian permainan harus mengacu pada konsep play, game and sport, (9) Susunan permainan harus disusun lebih baik lagi, (10) Gambar jalan harus ada tahapannya saat melayang, bedakan dengan lari, harus diperbaiki lagi, (11) Perlu ditambah variasinya dalam permainan, (12) Tambahkan deskripsi terkait dengan gerak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(13) Disesuaikan dengan tanda-tanda lalu lintas, (14) Gunakan bola yang lebih aman dan menyenangkan, (15) Buat peraturan yang tidak menyulitkan pemburu, (16) Buat sedotan yang aman terhadap mata, </w:t>
      </w:r>
      <w:r w:rsidRPr="00B153FA">
        <w:rPr>
          <w:rFonts w:ascii="Calisto MT" w:hAnsi="Calisto MT" w:cs="Arial"/>
          <w:sz w:val="20"/>
          <w:szCs w:val="20"/>
        </w:rPr>
        <w:lastRenderedPageBreak/>
        <w:t xml:space="preserve">(17) Tambahkan peraturan yang memudahkan si katak, (18) Gambar dibuat sesuai usia 8-10 tahun, (19) Tujuan permainan harus lebih jelas, harus meliputi unsur kognitif, </w:t>
      </w:r>
      <w:proofErr w:type="spellStart"/>
      <w:r w:rsidRPr="00B153FA">
        <w:rPr>
          <w:rFonts w:ascii="Calisto MT" w:hAnsi="Calisto MT" w:cs="Arial"/>
          <w:sz w:val="20"/>
          <w:szCs w:val="20"/>
        </w:rPr>
        <w:t>psikomotorik</w:t>
      </w:r>
      <w:proofErr w:type="spellEnd"/>
      <w:r w:rsidRPr="00B153FA">
        <w:rPr>
          <w:rFonts w:ascii="Calisto MT" w:hAnsi="Calisto MT" w:cs="Arial"/>
          <w:sz w:val="20"/>
          <w:szCs w:val="20"/>
        </w:rPr>
        <w:t xml:space="preserve"> dan afektif.</w:t>
      </w:r>
    </w:p>
    <w:p w:rsidR="001C447C" w:rsidRPr="00B153FA" w:rsidRDefault="001C447C" w:rsidP="00B153FA">
      <w:pPr>
        <w:spacing w:before="0" w:beforeAutospacing="0" w:after="0" w:afterAutospacing="0"/>
        <w:ind w:left="0" w:firstLine="567"/>
        <w:jc w:val="both"/>
        <w:rPr>
          <w:rFonts w:ascii="Calisto MT" w:hAnsi="Calisto MT" w:cs="Arial"/>
          <w:sz w:val="20"/>
          <w:szCs w:val="20"/>
        </w:rPr>
      </w:pPr>
      <w:r w:rsidRPr="00B153FA">
        <w:rPr>
          <w:rFonts w:ascii="Calisto MT" w:hAnsi="Calisto MT" w:cs="Arial"/>
          <w:sz w:val="20"/>
          <w:szCs w:val="20"/>
        </w:rPr>
        <w:t xml:space="preserve">Dalam pembelajaran pendidikan jasmani bahwasanya siswa lebih senang apabila penyampaian materi diberikan dengan model permainan. </w:t>
      </w:r>
      <w:r w:rsidR="00CF32A6">
        <w:rPr>
          <w:rFonts w:ascii="Calisto MT" w:hAnsi="Calisto MT" w:cs="Arial"/>
          <w:sz w:val="20"/>
          <w:szCs w:val="20"/>
          <w:lang w:val="id-ID"/>
        </w:rPr>
        <w:t>B</w:t>
      </w:r>
      <w:proofErr w:type="spellStart"/>
      <w:r w:rsidRPr="00B153FA">
        <w:rPr>
          <w:rFonts w:ascii="Calisto MT" w:hAnsi="Calisto MT" w:cs="Arial"/>
          <w:sz w:val="20"/>
          <w:szCs w:val="20"/>
        </w:rPr>
        <w:t>ermain</w:t>
      </w:r>
      <w:proofErr w:type="spellEnd"/>
      <w:r w:rsidRPr="00B153FA">
        <w:rPr>
          <w:rFonts w:ascii="Calisto MT" w:hAnsi="Calisto MT" w:cs="Arial"/>
          <w:sz w:val="20"/>
          <w:szCs w:val="20"/>
        </w:rPr>
        <w:t xml:space="preserve"> merupakan kegiatan yang dilakukan seseorang untuk memperoleh kesenangan, tanpa mempertimbangkan hasil akhir</w:t>
      </w:r>
      <w:r w:rsidR="00CF32A6">
        <w:rPr>
          <w:rFonts w:ascii="Calisto MT" w:hAnsi="Calisto MT" w:cs="Arial"/>
          <w:sz w:val="20"/>
          <w:szCs w:val="20"/>
          <w:lang w:val="id-ID"/>
        </w:rPr>
        <w:t xml:space="preserve"> </w:t>
      </w:r>
      <w:r w:rsidR="00CF32A6">
        <w:rPr>
          <w:rFonts w:ascii="Calisto MT" w:hAnsi="Calisto MT" w:cs="Arial"/>
          <w:sz w:val="20"/>
          <w:szCs w:val="20"/>
        </w:rPr>
        <w:fldChar w:fldCharType="begin" w:fldLock="1"/>
      </w:r>
      <w:r w:rsidR="00CF32A6">
        <w:rPr>
          <w:rFonts w:ascii="Calisto MT" w:hAnsi="Calisto MT" w:cs="Arial"/>
          <w:sz w:val="20"/>
          <w:szCs w:val="20"/>
        </w:rPr>
        <w:instrText>ADDIN CSL_CITATION {"citationItems":[{"id":"ITEM-1","itemData":{"DOI":"10.1007/978-3-319-42875-8_2","ISSN":"21915776","abstract":"The role of play in human development is controversial. In some quarters, it is viewed as indispensable to children's healthy development and education, while in others it is marginalized as a topic worthy of study and of questionable functional significance. I suggest that differences in the ways in which play is defined and the ways in which function is conceptualized has led to this misunderstanding. I outline the ontogeny of social, object, locomotor, and pretend play and possible functions. I also make educational policy and research recommendations for the role of play in children's lives.","author":[{"dropping-particle":"","family":"Madej","given":"Krystina","non-dropping-particle":"","parse-names":false,"suffix":""}],"container-title":"SpringerBriefs in Computer Science","id":"ITEM-1","issued":{"date-parts":[["2016"]]},"title":"Play","type":"chapter"},"uris":["http://www.mendeley.com/documents/?uuid=e05fa203-2b71-4c19-b80d-474d84b10685"]}],"mendeley":{"formattedCitation":"(Madej, 2016b)","plainTextFormattedCitation":"(Madej, 2016b)","previouslyFormattedCitation":"(Madej, 2016b)"},"properties":{"noteIndex":0},"schema":"https://github.com/citation-style-language/schema/raw/master/csl-citation.json"}</w:instrText>
      </w:r>
      <w:r w:rsidR="00CF32A6">
        <w:rPr>
          <w:rFonts w:ascii="Calisto MT" w:hAnsi="Calisto MT" w:cs="Arial"/>
          <w:sz w:val="20"/>
          <w:szCs w:val="20"/>
        </w:rPr>
        <w:fldChar w:fldCharType="separate"/>
      </w:r>
      <w:r w:rsidR="00CF32A6" w:rsidRPr="00CF32A6">
        <w:rPr>
          <w:rFonts w:ascii="Calisto MT" w:hAnsi="Calisto MT" w:cs="Arial"/>
          <w:noProof/>
          <w:sz w:val="20"/>
          <w:szCs w:val="20"/>
        </w:rPr>
        <w:t>(Madej, 2016b)</w:t>
      </w:r>
      <w:r w:rsidR="00CF32A6">
        <w:rPr>
          <w:rFonts w:ascii="Calisto MT" w:hAnsi="Calisto MT" w:cs="Arial"/>
          <w:sz w:val="20"/>
          <w:szCs w:val="20"/>
        </w:rPr>
        <w:fldChar w:fldCharType="end"/>
      </w:r>
      <w:r w:rsidRPr="00B153FA">
        <w:rPr>
          <w:rFonts w:ascii="Calisto MT" w:hAnsi="Calisto MT" w:cs="Arial"/>
          <w:sz w:val="20"/>
          <w:szCs w:val="20"/>
        </w:rPr>
        <w:t>. Selain itu permainan ditujukan untuk meningkatkan partisipasi individu, membangun kapasitas kolektif untuk pemecahan masalah, meningkatkan kepercayaan diri, psikologis, kondisi fisik dan mental serta peningkatan solidaritas dan tanggung jawab</w:t>
      </w:r>
      <w:r w:rsidR="00CF32A6">
        <w:rPr>
          <w:rFonts w:ascii="Calisto MT" w:hAnsi="Calisto MT" w:cs="Arial"/>
          <w:sz w:val="20"/>
          <w:szCs w:val="20"/>
          <w:lang w:val="id-ID"/>
        </w:rPr>
        <w:t xml:space="preserve"> </w:t>
      </w:r>
      <w:r w:rsidR="00CF32A6">
        <w:rPr>
          <w:rFonts w:ascii="Calisto MT" w:hAnsi="Calisto MT" w:cs="Arial"/>
          <w:sz w:val="20"/>
          <w:szCs w:val="20"/>
          <w:lang w:val="id-ID"/>
        </w:rPr>
        <w:fldChar w:fldCharType="begin" w:fldLock="1"/>
      </w:r>
      <w:r w:rsidR="00CF32A6">
        <w:rPr>
          <w:rFonts w:ascii="Calisto MT" w:hAnsi="Calisto MT" w:cs="Arial"/>
          <w:sz w:val="20"/>
          <w:szCs w:val="20"/>
          <w:lang w:val="id-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w:instrText>
      </w:r>
      <w:r w:rsidR="00CF32A6">
        <w:rPr>
          <w:rFonts w:ascii="Times New Roman" w:hAnsi="Times New Roman" w:cs="Times New Roman"/>
          <w:sz w:val="20"/>
          <w:szCs w:val="20"/>
          <w:lang w:val="id-ID"/>
        </w:rPr>
        <w:instrText>−</w:instrText>
      </w:r>
      <w:r w:rsidR="00CF32A6">
        <w:rPr>
          <w:rFonts w:ascii="Calisto MT" w:hAnsi="Calisto MT" w:cs="Arial"/>
          <w:sz w:val="20"/>
          <w:szCs w:val="20"/>
          <w:lang w:val="id-ID"/>
        </w:rPr>
        <w:instrText>protein docking tools. Here, we test the small molecule flexible ligand docking program Glide on a set of 19 non-</w:instrText>
      </w:r>
      <w:r w:rsidR="00CF32A6">
        <w:rPr>
          <w:rFonts w:ascii="Calisto MT" w:hAnsi="Calisto MT" w:cs="Arial" w:hint="eastAsia"/>
          <w:sz w:val="20"/>
          <w:szCs w:val="20"/>
          <w:lang w:val="id-ID"/>
        </w:rPr>
        <w:instrText>α</w:instrText>
      </w:r>
      <w:r w:rsidR="00CF32A6">
        <w:rPr>
          <w:rFonts w:ascii="Calisto MT" w:hAnsi="Calisto MT" w:cs="Arial"/>
          <w:sz w:val="20"/>
          <w:szCs w:val="20"/>
          <w:lang w:val="id-ID"/>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approach.","author":[{"dropping-particle":"","family":"Fallis","given":"a.G","non-dropping-particle":"","parse-names":false,"suffix":""}],"container-title":"Journal of Chemical Information and Modeling","id":"ITEM-1","issued":{"date-parts":[["2013"]]},"title":"Psycology","type":"book"},"uris":["http://www.mendeley.com/documents/?uuid=d1adfbd1-e1cc-4f69-914d-2456744ab127","http://www.mendeley.com/documents/?uuid=009ec38b-438f-4a08-adf9-b781d0f9c955"]}],"mendeley":{"formattedCitation":"(Fallis, 2013)","plainTextFormattedCitation":"(Fallis, 2013)","previouslyFormattedCitation":"(Fallis, 2013)"},"properties":{"noteIndex":0},"schema":"https://github.com/citation-style-language/schema/raw/master/csl-citation.json"}</w:instrText>
      </w:r>
      <w:r w:rsidR="00CF32A6">
        <w:rPr>
          <w:rFonts w:ascii="Calisto MT" w:hAnsi="Calisto MT" w:cs="Arial"/>
          <w:sz w:val="20"/>
          <w:szCs w:val="20"/>
          <w:lang w:val="id-ID"/>
        </w:rPr>
        <w:fldChar w:fldCharType="separate"/>
      </w:r>
      <w:r w:rsidR="00CF32A6" w:rsidRPr="00CF32A6">
        <w:rPr>
          <w:rFonts w:ascii="Calisto MT" w:hAnsi="Calisto MT" w:cs="Arial"/>
          <w:noProof/>
          <w:sz w:val="20"/>
          <w:szCs w:val="20"/>
          <w:lang w:val="id-ID"/>
        </w:rPr>
        <w:t>(Fallis, 2013)</w:t>
      </w:r>
      <w:r w:rsidR="00CF32A6">
        <w:rPr>
          <w:rFonts w:ascii="Calisto MT" w:hAnsi="Calisto MT" w:cs="Arial"/>
          <w:sz w:val="20"/>
          <w:szCs w:val="20"/>
          <w:lang w:val="id-ID"/>
        </w:rPr>
        <w:fldChar w:fldCharType="end"/>
      </w:r>
      <w:r w:rsidRPr="00B153FA">
        <w:rPr>
          <w:rFonts w:ascii="Calisto MT" w:hAnsi="Calisto MT" w:cs="Arial"/>
          <w:sz w:val="20"/>
          <w:szCs w:val="20"/>
        </w:rPr>
        <w:t>.</w:t>
      </w:r>
    </w:p>
    <w:p w:rsidR="00B153FA" w:rsidRPr="00B153FA" w:rsidRDefault="00B153FA" w:rsidP="00B153FA">
      <w:pPr>
        <w:spacing w:before="0" w:beforeAutospacing="0" w:after="0" w:afterAutospacing="0"/>
        <w:ind w:left="0" w:firstLine="567"/>
        <w:jc w:val="both"/>
        <w:rPr>
          <w:rFonts w:ascii="Calisto MT" w:hAnsi="Calisto MT" w:cs="Arial"/>
          <w:sz w:val="20"/>
          <w:szCs w:val="20"/>
        </w:rPr>
      </w:pPr>
      <w:r w:rsidRPr="00B153FA">
        <w:rPr>
          <w:rFonts w:ascii="Calisto MT" w:hAnsi="Calisto MT" w:cs="Arial"/>
          <w:sz w:val="20"/>
          <w:szCs w:val="20"/>
        </w:rPr>
        <w:t xml:space="preserve">Permainan yang telah disusun terdiri dari 9 permainan yaitu: lalu lintas, jala ikan, berburu bola, take and give, </w:t>
      </w:r>
      <w:proofErr w:type="spellStart"/>
      <w:r w:rsidRPr="00B153FA">
        <w:rPr>
          <w:rFonts w:ascii="Calisto MT" w:hAnsi="Calisto MT" w:cs="Arial"/>
          <w:sz w:val="20"/>
          <w:szCs w:val="20"/>
        </w:rPr>
        <w:t>hollahoop</w:t>
      </w:r>
      <w:proofErr w:type="spellEnd"/>
      <w:r w:rsidRPr="00B153FA">
        <w:rPr>
          <w:rFonts w:ascii="Calisto MT" w:hAnsi="Calisto MT" w:cs="Arial"/>
          <w:sz w:val="20"/>
          <w:szCs w:val="20"/>
        </w:rPr>
        <w:t xml:space="preserve">, katak dalam air, menyusun angka, jalan, lari, lompat, jingkat, lompat loncat tali yang di dalamnya terdapat unsur gerak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dan manipulatif. </w:t>
      </w:r>
      <w:r w:rsidR="00CF32A6">
        <w:rPr>
          <w:rFonts w:ascii="Calisto MT" w:hAnsi="Calisto MT" w:cs="Arial"/>
          <w:sz w:val="20"/>
          <w:szCs w:val="20"/>
          <w:lang w:val="id-ID"/>
        </w:rPr>
        <w:t>G</w:t>
      </w:r>
      <w:r w:rsidRPr="00B153FA">
        <w:rPr>
          <w:rFonts w:ascii="Calisto MT" w:hAnsi="Calisto MT" w:cs="Arial"/>
          <w:sz w:val="20"/>
          <w:szCs w:val="20"/>
        </w:rPr>
        <w:t xml:space="preserve">erak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adalah aktivitas jasmani dengan melakukan perpindahan kaki berpijak dari satu tempat ke tempat yang lain, atau aktivitas fisik dengan m</w:t>
      </w:r>
      <w:r w:rsidR="00CF32A6">
        <w:rPr>
          <w:rFonts w:ascii="Calisto MT" w:hAnsi="Calisto MT" w:cs="Arial"/>
          <w:sz w:val="20"/>
          <w:szCs w:val="20"/>
        </w:rPr>
        <w:t xml:space="preserve">eninggalkan tempat </w:t>
      </w:r>
      <w:proofErr w:type="spellStart"/>
      <w:r w:rsidR="00CF32A6">
        <w:rPr>
          <w:rFonts w:ascii="Calisto MT" w:hAnsi="Calisto MT" w:cs="Arial"/>
          <w:sz w:val="20"/>
          <w:szCs w:val="20"/>
        </w:rPr>
        <w:t>berpijaknya</w:t>
      </w:r>
      <w:proofErr w:type="spellEnd"/>
      <w:r w:rsidR="00CF32A6">
        <w:rPr>
          <w:rFonts w:ascii="Calisto MT" w:hAnsi="Calisto MT" w:cs="Arial"/>
          <w:sz w:val="20"/>
          <w:szCs w:val="20"/>
        </w:rPr>
        <w:t>.</w:t>
      </w:r>
      <w:r w:rsidRPr="00B153FA">
        <w:rPr>
          <w:rFonts w:ascii="Calisto MT" w:hAnsi="Calisto MT" w:cs="Arial"/>
          <w:sz w:val="20"/>
          <w:szCs w:val="20"/>
        </w:rPr>
        <w:t xml:space="preserve"> Gerak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dalam permainan ini meliputi jalan, lari, lompat, loncat, dan jingkat</w:t>
      </w:r>
      <w:r w:rsidR="00CF32A6">
        <w:rPr>
          <w:rFonts w:ascii="Calisto MT" w:hAnsi="Calisto MT" w:cs="Arial"/>
          <w:sz w:val="20"/>
          <w:szCs w:val="20"/>
          <w:lang w:val="id-ID"/>
        </w:rPr>
        <w:t xml:space="preserve"> </w:t>
      </w:r>
      <w:r w:rsidR="00CF32A6">
        <w:rPr>
          <w:rFonts w:ascii="Calisto MT" w:hAnsi="Calisto MT" w:cs="Arial"/>
          <w:sz w:val="20"/>
          <w:szCs w:val="20"/>
          <w:lang w:val="id-ID"/>
        </w:rPr>
        <w:fldChar w:fldCharType="begin" w:fldLock="1"/>
      </w:r>
      <w:r w:rsidR="00CF32A6">
        <w:rPr>
          <w:rFonts w:ascii="Calisto MT" w:hAnsi="Calisto MT" w:cs="Arial"/>
          <w:sz w:val="20"/>
          <w:szCs w:val="20"/>
          <w:lang w:val="id-ID"/>
        </w:rPr>
        <w:instrText>ADDIN CSL_CITATION {"citationItems":[{"id":"ITEM-1","itemData":{"DOI":"10.1016/j.humov.2010.04.001","ISSN":"01679457","abstract":"The concept of body schema has been introduced and widely discussed in the literature to explain various clinical observations and distortions in the body and space representation. Here we address the role of body schema related information in multi-joint limb motion. The processing of proprioceptive information may differ significantly in static and dynamic conditions since in the latter case the control system may employ specific dynamic rules and constraints. Accordingly, the perception of movement, e.g., estimation of step length and walking distance, may rely on a priori knowledge about intrinsic dynamics of limb segment motion and inherent relationships between gait parameters and body proportions. The findings are discussed in the general framework of space and body movement representation and suggest the existence of a dynamic locomotor body schema used for controlling step length and path estimation. © 2010 Elsevier B.V.","author":[{"dropping-particle":"","family":"Ivanenko","given":"Y. P.","non-dropping-particle":"","parse-names":false,"suffix":""},{"dropping-particle":"","family":"Dominici","given":"N.","non-dropping-particle":"","parse-names":false,"suffix":""},{"dropping-particle":"","family":"Daprati","given":"E.","non-dropping-particle":"","parse-names":false,"suffix":""},{"dropping-particle":"","family":"Nico","given":"D.","non-dropping-particle":"","parse-names":false,"suffix":""},{"dropping-particle":"","family":"Cappellini","given":"G.","non-dropping-particle":"","parse-names":false,"suffix":""},{"dropping-particle":"","family":"Lacquaniti","given":"F.","non-dropping-particle":"","parse-names":false,"suffix":""}],"container-title":"Human Movement Science","id":"ITEM-1","issued":{"date-parts":[["2011"]]},"title":"Locomotor body scheme","type":"article-journal"},"uris":["http://www.mendeley.com/documents/?uuid=17f9b78c-e02c-4dfd-b905-ddd95bd48976","http://www.mendeley.com/documents/?uuid=9c1304af-f002-43af-b0a9-f660bfeffc4c"]}],"mendeley":{"formattedCitation":"(Ivanenko et al., 2011)","plainTextFormattedCitation":"(Ivanenko et al., 2011)","previouslyFormattedCitation":"(Ivanenko et al., 2011)"},"properties":{"noteIndex":0},"schema":"https://github.com/citation-style-language/schema/raw/master/csl-citation.json"}</w:instrText>
      </w:r>
      <w:r w:rsidR="00CF32A6">
        <w:rPr>
          <w:rFonts w:ascii="Calisto MT" w:hAnsi="Calisto MT" w:cs="Arial"/>
          <w:sz w:val="20"/>
          <w:szCs w:val="20"/>
          <w:lang w:val="id-ID"/>
        </w:rPr>
        <w:fldChar w:fldCharType="separate"/>
      </w:r>
      <w:r w:rsidR="00CF32A6" w:rsidRPr="00CF32A6">
        <w:rPr>
          <w:rFonts w:ascii="Calisto MT" w:hAnsi="Calisto MT" w:cs="Arial"/>
          <w:noProof/>
          <w:sz w:val="20"/>
          <w:szCs w:val="20"/>
          <w:lang w:val="id-ID"/>
        </w:rPr>
        <w:t>(Ivanenko et al., 2011)</w:t>
      </w:r>
      <w:r w:rsidR="00CF32A6">
        <w:rPr>
          <w:rFonts w:ascii="Calisto MT" w:hAnsi="Calisto MT" w:cs="Arial"/>
          <w:sz w:val="20"/>
          <w:szCs w:val="20"/>
          <w:lang w:val="id-ID"/>
        </w:rPr>
        <w:fldChar w:fldCharType="end"/>
      </w:r>
      <w:r w:rsidRPr="00B153FA">
        <w:rPr>
          <w:rFonts w:ascii="Calisto MT" w:hAnsi="Calisto MT" w:cs="Arial"/>
          <w:sz w:val="20"/>
          <w:szCs w:val="20"/>
        </w:rPr>
        <w:t xml:space="preserve">. Sedangkan gerak dasar </w:t>
      </w:r>
      <w:proofErr w:type="spellStart"/>
      <w:r w:rsidRPr="00B153FA">
        <w:rPr>
          <w:rFonts w:ascii="Calisto MT" w:hAnsi="Calisto MT" w:cs="Arial"/>
          <w:sz w:val="20"/>
          <w:szCs w:val="20"/>
        </w:rPr>
        <w:t>maipulatif</w:t>
      </w:r>
      <w:proofErr w:type="spellEnd"/>
      <w:r w:rsidRPr="00B153FA">
        <w:rPr>
          <w:rFonts w:ascii="Calisto MT" w:hAnsi="Calisto MT" w:cs="Arial"/>
          <w:sz w:val="20"/>
          <w:szCs w:val="20"/>
        </w:rPr>
        <w:t xml:space="preserve"> adalah gerakan kasar dengan menggunakan tenaga untuk memberi atau menerima suatu objek, seperti melempar, menangkap, menendang, memantulkan dan memukul</w:t>
      </w:r>
      <w:r w:rsidR="00CF32A6">
        <w:rPr>
          <w:rFonts w:ascii="Calisto MT" w:hAnsi="Calisto MT" w:cs="Arial"/>
          <w:sz w:val="20"/>
          <w:szCs w:val="20"/>
          <w:lang w:val="id-ID"/>
        </w:rPr>
        <w:t xml:space="preserve"> </w:t>
      </w:r>
      <w:r w:rsidR="00CF32A6">
        <w:rPr>
          <w:rFonts w:ascii="Calisto MT" w:hAnsi="Calisto MT" w:cs="Arial"/>
          <w:sz w:val="20"/>
          <w:szCs w:val="20"/>
          <w:lang w:val="id-ID"/>
        </w:rPr>
        <w:fldChar w:fldCharType="begin" w:fldLock="1"/>
      </w:r>
      <w:r w:rsidR="00743CA1">
        <w:rPr>
          <w:rFonts w:ascii="Calisto MT" w:hAnsi="Calisto MT" w:cs="Arial"/>
          <w:sz w:val="20"/>
          <w:szCs w:val="20"/>
          <w:lang w:val="id-ID"/>
        </w:rPr>
        <w:instrText>ADDIN CSL_CITATION {"citationItems":[{"id":"ITEM-1","itemData":{"DOI":"10.1038/nn.3567","ISSN":"10976256","abstract":"Successful navigation through the world requires accurate estimation of one's own speed. To derive this estimate, animals integrate visual speed gauged from optic flow and run speed gauged from proprioceptive and locomotor systems. The primary visual cortex (V1) carries signals related to visual speed, and its responses are also affected by run speed. To study how V1 combines these signals during navigation, we recorded from mice that traversed a virtual environment. Nearly half of the V1 neurons were reliably driven by combinations of visual speed and run speed. These neurons performed a weighted sum of the two speeds. The weights were diverse across neurons, and typically positive. As a population, V1 neurons predicted a linear combination of visual and run speeds better than either visual or run speeds alone. These data indicate that V1 in the mouse participates in a multimodal processing system that integrates visual motion and locomotion during navigation.","author":[{"dropping-particle":"","family":"Saleem","given":"Aman B.","non-dropping-particle":"","parse-names":false,"suffix":""},{"dropping-particle":"","family":"Ayaz","given":"Asl I.","non-dropping-particle":"","parse-names":false,"suffix":""},{"dropping-particle":"","family":"Jeffery","given":"Kathryn J.","non-dropping-particle":"","parse-names":false,"suffix":""},{"dropping-particle":"","family":"Harris","given":"Kenneth D.","non-dropping-particle":"","parse-names":false,"suffix":""},{"dropping-particle":"","family":"Carandini","given":"Matteo","non-dropping-particle":"","parse-names":false,"suffix":""}],"container-title":"Nature Neuroscience","id":"ITEM-1","issued":{"date-parts":[["2013"]]},"title":"Integration of visual motion and locomotion in mouse visual cortex","type":"article-journal"},"uris":["http://www.mendeley.com/documents/?uuid=47883b9b-40e1-4b16-9e03-2facd022492a","http://www.mendeley.com/documents/?uuid=8aaf4210-21d9-4ab9-b7a2-0d62cc23a193"]}],"mendeley":{"formattedCitation":"(Saleem, Ayaz, Jeffery, Harris, &amp; Carandini, 2013)","plainTextFormattedCitation":"(Saleem, Ayaz, Jeffery, Harris, &amp; Carandini, 2013)","previouslyFormattedCitation":"(Saleem, Ayaz, Jeffery, Harris, &amp; Carandini, 2013)"},"properties":{"noteIndex":0},"schema":"https://github.com/citation-style-language/schema/raw/master/csl-citation.json"}</w:instrText>
      </w:r>
      <w:r w:rsidR="00CF32A6">
        <w:rPr>
          <w:rFonts w:ascii="Calisto MT" w:hAnsi="Calisto MT" w:cs="Arial"/>
          <w:sz w:val="20"/>
          <w:szCs w:val="20"/>
          <w:lang w:val="id-ID"/>
        </w:rPr>
        <w:fldChar w:fldCharType="separate"/>
      </w:r>
      <w:r w:rsidR="00CF32A6" w:rsidRPr="00CF32A6">
        <w:rPr>
          <w:rFonts w:ascii="Calisto MT" w:hAnsi="Calisto MT" w:cs="Arial"/>
          <w:noProof/>
          <w:sz w:val="20"/>
          <w:szCs w:val="20"/>
          <w:lang w:val="id-ID"/>
        </w:rPr>
        <w:t>(Saleem, Ayaz, Jeffery, Harris, &amp; Carandini, 2013)</w:t>
      </w:r>
      <w:r w:rsidR="00CF32A6">
        <w:rPr>
          <w:rFonts w:ascii="Calisto MT" w:hAnsi="Calisto MT" w:cs="Arial"/>
          <w:sz w:val="20"/>
          <w:szCs w:val="20"/>
          <w:lang w:val="id-ID"/>
        </w:rPr>
        <w:fldChar w:fldCharType="end"/>
      </w:r>
      <w:r w:rsidRPr="00B153FA">
        <w:rPr>
          <w:rFonts w:ascii="Calisto MT" w:hAnsi="Calisto MT" w:cs="Arial"/>
          <w:sz w:val="20"/>
          <w:szCs w:val="20"/>
        </w:rPr>
        <w:t xml:space="preserve">. Dan di dalam permainan ini gerak manipulatif terdiri dari melempar, menangkap, menendang, memantul dan menolak yang dikombinasikan dengan gerakan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untuk menyusun sebuah permainan yang cocok untuk anak sekolah dasar.</w:t>
      </w:r>
    </w:p>
    <w:p w:rsidR="00B153FA" w:rsidRPr="00B153FA" w:rsidRDefault="00B153FA" w:rsidP="00B153FA">
      <w:pPr>
        <w:spacing w:before="0" w:beforeAutospacing="0" w:after="0" w:afterAutospacing="0"/>
        <w:ind w:left="0" w:firstLine="567"/>
        <w:jc w:val="both"/>
        <w:rPr>
          <w:rFonts w:ascii="Calisto MT" w:hAnsi="Calisto MT"/>
          <w:sz w:val="20"/>
          <w:szCs w:val="20"/>
          <w:lang w:val="en-AU"/>
        </w:rPr>
      </w:pPr>
      <w:r w:rsidRPr="00B153FA">
        <w:rPr>
          <w:rFonts w:ascii="Calisto MT" w:hAnsi="Calisto MT" w:cs="Arial"/>
          <w:sz w:val="20"/>
          <w:szCs w:val="20"/>
        </w:rPr>
        <w:t xml:space="preserve">Permainan yang telah peneliti susun mengacu pada perkembangan gerak anak </w:t>
      </w:r>
      <w:proofErr w:type="gramStart"/>
      <w:r w:rsidRPr="00B153FA">
        <w:rPr>
          <w:rFonts w:ascii="Calisto MT" w:hAnsi="Calisto MT" w:cs="Arial"/>
          <w:sz w:val="20"/>
          <w:szCs w:val="20"/>
        </w:rPr>
        <w:t>usia</w:t>
      </w:r>
      <w:proofErr w:type="gramEnd"/>
      <w:r w:rsidRPr="00B153FA">
        <w:rPr>
          <w:rFonts w:ascii="Calisto MT" w:hAnsi="Calisto MT" w:cs="Arial"/>
          <w:sz w:val="20"/>
          <w:szCs w:val="20"/>
        </w:rPr>
        <w:t xml:space="preserve"> sekolah dasar terutama usia 8-12 tahun. </w:t>
      </w:r>
      <w:r w:rsidR="00743CA1">
        <w:rPr>
          <w:rFonts w:ascii="Calisto MT" w:hAnsi="Calisto MT" w:cs="Arial"/>
          <w:sz w:val="20"/>
          <w:szCs w:val="20"/>
          <w:lang w:val="id-ID"/>
        </w:rPr>
        <w:t>K</w:t>
      </w:r>
      <w:proofErr w:type="spellStart"/>
      <w:r w:rsidRPr="00B153FA">
        <w:rPr>
          <w:rFonts w:ascii="Calisto MT" w:hAnsi="Calisto MT" w:cs="Arial"/>
          <w:sz w:val="20"/>
          <w:szCs w:val="20"/>
        </w:rPr>
        <w:t>emampuan</w:t>
      </w:r>
      <w:proofErr w:type="spellEnd"/>
      <w:r w:rsidRPr="00B153FA">
        <w:rPr>
          <w:rFonts w:ascii="Calisto MT" w:hAnsi="Calisto MT" w:cs="Arial"/>
          <w:sz w:val="20"/>
          <w:szCs w:val="20"/>
        </w:rPr>
        <w:t xml:space="preserve"> anak pada usia ini sudah mulai meningkat dan bekerja secara harmoni untuk belajar gerak sehingga pada akhirnya dapat menunjukkan keterampilan geraknya. Mereka sudah mulai bisa menunjukkan keterampilan gerak </w:t>
      </w:r>
      <w:proofErr w:type="spellStart"/>
      <w:r w:rsidRPr="00B153FA">
        <w:rPr>
          <w:rFonts w:ascii="Calisto MT" w:hAnsi="Calisto MT" w:cs="Arial"/>
          <w:sz w:val="20"/>
          <w:szCs w:val="20"/>
        </w:rPr>
        <w:t>motoriknya</w:t>
      </w:r>
      <w:proofErr w:type="spellEnd"/>
      <w:r w:rsidRPr="00B153FA">
        <w:rPr>
          <w:rFonts w:ascii="Calisto MT" w:hAnsi="Calisto MT" w:cs="Arial"/>
          <w:sz w:val="20"/>
          <w:szCs w:val="20"/>
        </w:rPr>
        <w:t xml:space="preserve"> dalam gerakan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maupun manipulatif. Jadi anak usia 8-12 tahun sudah mulai terampil dalam bergerak, baik gerak </w:t>
      </w:r>
      <w:proofErr w:type="spellStart"/>
      <w:r w:rsidRPr="00B153FA">
        <w:rPr>
          <w:rFonts w:ascii="Calisto MT" w:hAnsi="Calisto MT" w:cs="Arial"/>
          <w:sz w:val="20"/>
          <w:szCs w:val="20"/>
        </w:rPr>
        <w:t>lokomotor</w:t>
      </w:r>
      <w:proofErr w:type="spellEnd"/>
      <w:r w:rsidRPr="00B153FA">
        <w:rPr>
          <w:rFonts w:ascii="Calisto MT" w:hAnsi="Calisto MT" w:cs="Arial"/>
          <w:sz w:val="20"/>
          <w:szCs w:val="20"/>
        </w:rPr>
        <w:t xml:space="preserve"> maupun manipulatif, sehingga dengan diberikannya permainan yang dimodifikasi dapat membantu perkembangan gerak anak menjadi lebih baik</w:t>
      </w:r>
      <w:r w:rsidR="00743CA1">
        <w:rPr>
          <w:rFonts w:ascii="Calisto MT" w:hAnsi="Calisto MT" w:cs="Arial"/>
          <w:sz w:val="20"/>
          <w:szCs w:val="20"/>
          <w:lang w:val="id-ID"/>
        </w:rPr>
        <w:t xml:space="preserve"> </w:t>
      </w:r>
      <w:r w:rsidR="00743CA1">
        <w:rPr>
          <w:rFonts w:ascii="Calisto MT" w:hAnsi="Calisto MT" w:cs="Arial"/>
          <w:sz w:val="20"/>
          <w:szCs w:val="20"/>
        </w:rPr>
        <w:fldChar w:fldCharType="begin" w:fldLock="1"/>
      </w:r>
      <w:r w:rsidR="00743CA1">
        <w:rPr>
          <w:rFonts w:ascii="Calisto MT" w:hAnsi="Calisto MT" w:cs="Arial"/>
          <w:sz w:val="20"/>
          <w:szCs w:val="20"/>
        </w:rPr>
        <w:instrText>ADDIN CSL_CITATION {"citationItems":[{"id":"ITEM-1","itemData":{"DOI":"10.1007/978-3-319-42875-8_3","ISSN":"21915776","abstract":"If you are following the OCR specification for Child Development, these stimulating resources offer the perfect match to the specification. The course is endorsed by Edexcel and written by experienced examiners so you can be confident you are teaching the","author":[{"dropping-particle":"","family":"Madej","given":"Krystina","non-dropping-particle":"","parse-names":false,"suffix":""}],"container-title":"SpringerBriefs in Computer Science","id":"ITEM-1","issued":{"date-parts":[["2016"]]},"title":"Child development","type":"chapter"},"uris":["http://www.mendeley.com/documents/?uuid=3b7e017d-ef99-4807-b401-5ded2debed5c"]}],"mendeley":{"formattedCitation":"(Madej, 2016a)","plainTextFormattedCitation":"(Madej, 2016a)","previouslyFormattedCitation":"(Madej, 2016a)"},"properties":{"noteIndex":0},"schema":"https://github.com/citation-style-language/schema/raw/master/csl-citation.json"}</w:instrText>
      </w:r>
      <w:r w:rsidR="00743CA1">
        <w:rPr>
          <w:rFonts w:ascii="Calisto MT" w:hAnsi="Calisto MT" w:cs="Arial"/>
          <w:sz w:val="20"/>
          <w:szCs w:val="20"/>
        </w:rPr>
        <w:fldChar w:fldCharType="separate"/>
      </w:r>
      <w:r w:rsidR="00743CA1" w:rsidRPr="00743CA1">
        <w:rPr>
          <w:rFonts w:ascii="Calisto MT" w:hAnsi="Calisto MT" w:cs="Arial"/>
          <w:noProof/>
          <w:sz w:val="20"/>
          <w:szCs w:val="20"/>
        </w:rPr>
        <w:t>(Madej, 2016a)</w:t>
      </w:r>
      <w:r w:rsidR="00743CA1">
        <w:rPr>
          <w:rFonts w:ascii="Calisto MT" w:hAnsi="Calisto MT" w:cs="Arial"/>
          <w:sz w:val="20"/>
          <w:szCs w:val="20"/>
        </w:rPr>
        <w:fldChar w:fldCharType="end"/>
      </w:r>
      <w:r w:rsidRPr="00B153FA">
        <w:rPr>
          <w:rFonts w:ascii="Calisto MT" w:hAnsi="Calisto MT" w:cs="Arial"/>
          <w:sz w:val="20"/>
          <w:szCs w:val="20"/>
        </w:rPr>
        <w:t>.</w:t>
      </w:r>
    </w:p>
    <w:p w:rsidR="007A2E34" w:rsidRDefault="007A2E34" w:rsidP="007A2E34">
      <w:pPr>
        <w:pStyle w:val="Heading2"/>
        <w:spacing w:line="240" w:lineRule="auto"/>
        <w:rPr>
          <w:lang w:val="id-ID"/>
        </w:rPr>
      </w:pPr>
    </w:p>
    <w:p w:rsidR="007A2E34" w:rsidRPr="007A2E34" w:rsidRDefault="007A2E34" w:rsidP="007A2E34">
      <w:pPr>
        <w:spacing w:before="0" w:beforeAutospacing="0" w:after="0" w:afterAutospacing="0"/>
        <w:rPr>
          <w:lang w:val="id-ID"/>
        </w:rPr>
      </w:pPr>
    </w:p>
    <w:p w:rsidR="00980522" w:rsidRDefault="00980522" w:rsidP="00980522">
      <w:pPr>
        <w:pStyle w:val="Heading2"/>
        <w:spacing w:line="240" w:lineRule="auto"/>
      </w:pPr>
      <w:r>
        <w:t>KESIMPULAN</w:t>
      </w:r>
    </w:p>
    <w:p w:rsidR="00980522" w:rsidRPr="001D4241" w:rsidRDefault="00980522" w:rsidP="00980522">
      <w:pPr>
        <w:pStyle w:val="Heading2"/>
        <w:spacing w:line="240" w:lineRule="auto"/>
      </w:pPr>
    </w:p>
    <w:p w:rsidR="00980522" w:rsidRPr="00B153FA" w:rsidRDefault="00B153FA" w:rsidP="00B153FA">
      <w:pPr>
        <w:spacing w:before="0" w:beforeAutospacing="0" w:after="0" w:afterAutospacing="0"/>
        <w:ind w:left="0" w:firstLine="567"/>
        <w:jc w:val="both"/>
        <w:rPr>
          <w:rFonts w:ascii="Calisto MT" w:hAnsi="Calisto MT" w:cs="Arial"/>
          <w:color w:val="00B0F0"/>
        </w:rPr>
      </w:pPr>
      <w:r w:rsidRPr="00B153FA">
        <w:rPr>
          <w:rFonts w:ascii="Calisto MT" w:hAnsi="Calisto MT" w:cs="Arial"/>
          <w:sz w:val="20"/>
        </w:rPr>
        <w:t xml:space="preserve">Berdasarkan pengumpulan data dari validasi 3 ahli serta uji coba kelompok kecil dan kelompok besar diperoleh persentase antara 81%-100% yang sesuai dengan analisis persentase tingkat kelayakan produk dengan kategori sangat valid dapat digunakan tanpa adanya perbaikan dan diperoleh persentase antara 61%-80% yang sesuai dengan analisis persentase tingkat kelayakan produk dengan kategori valid dapat digunakan dengan adanya perbaikan kecil, sehingga produk pengembangan permainan gerak dasar </w:t>
      </w:r>
      <w:proofErr w:type="spellStart"/>
      <w:r w:rsidRPr="00B153FA">
        <w:rPr>
          <w:rFonts w:ascii="Calisto MT" w:hAnsi="Calisto MT" w:cs="Arial"/>
          <w:sz w:val="20"/>
        </w:rPr>
        <w:t>lokomotor</w:t>
      </w:r>
      <w:proofErr w:type="spellEnd"/>
      <w:r w:rsidRPr="00B153FA">
        <w:rPr>
          <w:rFonts w:ascii="Calisto MT" w:hAnsi="Calisto MT" w:cs="Arial"/>
          <w:sz w:val="20"/>
        </w:rPr>
        <w:t xml:space="preserve"> dan manipulatif pada siswa kelas III SDN Bareng 3 Kota Malang yang berupa buku panduan layak untuk digunakan saat proses pembelajaran pendidikan jasmani dan kesehatan. Produk ini bertujuan mengembangkan permainan gerak dasar </w:t>
      </w:r>
      <w:proofErr w:type="spellStart"/>
      <w:r w:rsidRPr="00B153FA">
        <w:rPr>
          <w:rFonts w:ascii="Calisto MT" w:hAnsi="Calisto MT" w:cs="Arial"/>
          <w:sz w:val="20"/>
        </w:rPr>
        <w:t>lokomotor</w:t>
      </w:r>
      <w:proofErr w:type="spellEnd"/>
      <w:r w:rsidRPr="00B153FA">
        <w:rPr>
          <w:rFonts w:ascii="Calisto MT" w:hAnsi="Calisto MT" w:cs="Arial"/>
          <w:sz w:val="20"/>
        </w:rPr>
        <w:t xml:space="preserve"> dan manipulatif untuk siswa kelas III SDN Bareng 3 Kota Malang yang diharapkan dapat digunakan dalam pembelajaran pendidikan jasmani, olahraga dan kesehatan serta membantu siswa d</w:t>
      </w:r>
      <w:bookmarkStart w:id="0" w:name="_GoBack"/>
      <w:bookmarkEnd w:id="0"/>
      <w:r w:rsidRPr="00B153FA">
        <w:rPr>
          <w:rFonts w:ascii="Calisto MT" w:hAnsi="Calisto MT" w:cs="Arial"/>
          <w:sz w:val="20"/>
        </w:rPr>
        <w:t xml:space="preserve">alam meningkatkan keterampilan dan lebih mudah untuk memahami materi gerak dasar </w:t>
      </w:r>
      <w:proofErr w:type="spellStart"/>
      <w:r w:rsidRPr="00B153FA">
        <w:rPr>
          <w:rFonts w:ascii="Calisto MT" w:hAnsi="Calisto MT" w:cs="Arial"/>
          <w:sz w:val="20"/>
        </w:rPr>
        <w:t>lokomotor</w:t>
      </w:r>
      <w:proofErr w:type="spellEnd"/>
      <w:r w:rsidRPr="00B153FA">
        <w:rPr>
          <w:rFonts w:ascii="Calisto MT" w:hAnsi="Calisto MT" w:cs="Arial"/>
          <w:sz w:val="20"/>
        </w:rPr>
        <w:t xml:space="preserve"> dan manipulatif.</w:t>
      </w:r>
      <w:r w:rsidR="00980522" w:rsidRPr="0051377D">
        <w:rPr>
          <w:color w:val="00B0F0"/>
          <w:lang w:val="en-AU"/>
        </w:rPr>
        <w:t xml:space="preserve">  </w:t>
      </w:r>
      <w:r w:rsidR="00980522" w:rsidRPr="0051377D">
        <w:rPr>
          <w:rFonts w:eastAsia="Calibri" w:cs="Arial"/>
          <w:lang w:val="id-ID"/>
        </w:rPr>
        <w:t xml:space="preserve"> </w:t>
      </w:r>
    </w:p>
    <w:p w:rsidR="00980522" w:rsidRDefault="00980522" w:rsidP="00980522">
      <w:pPr>
        <w:pStyle w:val="Heading2"/>
        <w:spacing w:line="240" w:lineRule="auto"/>
      </w:pPr>
    </w:p>
    <w:p w:rsidR="00980522" w:rsidRDefault="00980522" w:rsidP="00980522">
      <w:pPr>
        <w:pStyle w:val="Heading2"/>
        <w:spacing w:line="240" w:lineRule="auto"/>
      </w:pPr>
    </w:p>
    <w:p w:rsidR="00980522" w:rsidRDefault="00980522" w:rsidP="00980522">
      <w:pPr>
        <w:pStyle w:val="Heading2"/>
        <w:spacing w:line="240" w:lineRule="auto"/>
      </w:pPr>
      <w:r>
        <w:t>DAFTAR PUSTAKA</w:t>
      </w:r>
    </w:p>
    <w:p w:rsidR="00980522" w:rsidRDefault="00980522" w:rsidP="00980522">
      <w:pPr>
        <w:widowControl w:val="0"/>
        <w:spacing w:before="0" w:beforeAutospacing="0" w:after="0" w:afterAutospacing="0"/>
        <w:ind w:left="709" w:right="0" w:hanging="709"/>
        <w:jc w:val="left"/>
        <w:rPr>
          <w:rFonts w:ascii="Arial" w:eastAsia="Calibri" w:hAnsi="Arial" w:cs="Arial"/>
        </w:rPr>
      </w:pP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Pr>
          <w:rFonts w:ascii="Calisto MT" w:eastAsia="Times New Roman" w:hAnsi="Calisto MT" w:cs="Arial"/>
          <w:sz w:val="20"/>
          <w:szCs w:val="20"/>
          <w:lang w:eastAsia="en-GB"/>
        </w:rPr>
        <w:fldChar w:fldCharType="begin" w:fldLock="1"/>
      </w:r>
      <w:r>
        <w:rPr>
          <w:rFonts w:ascii="Calisto MT" w:eastAsia="Times New Roman" w:hAnsi="Calisto MT" w:cs="Arial"/>
          <w:sz w:val="20"/>
          <w:szCs w:val="20"/>
          <w:lang w:eastAsia="en-GB"/>
        </w:rPr>
        <w:instrText xml:space="preserve">ADDIN Mendeley Bibliography CSL_BIBLIOGRAPHY </w:instrText>
      </w:r>
      <w:r>
        <w:rPr>
          <w:rFonts w:ascii="Calisto MT" w:eastAsia="Times New Roman" w:hAnsi="Calisto MT" w:cs="Arial"/>
          <w:sz w:val="20"/>
          <w:szCs w:val="20"/>
          <w:lang w:eastAsia="en-GB"/>
        </w:rPr>
        <w:fldChar w:fldCharType="separate"/>
      </w:r>
      <w:r w:rsidRPr="00743CA1">
        <w:rPr>
          <w:rFonts w:ascii="Calisto MT" w:hAnsi="Calisto MT" w:cs="Times New Roman"/>
          <w:noProof/>
          <w:sz w:val="20"/>
          <w:szCs w:val="24"/>
        </w:rPr>
        <w:t xml:space="preserve">A Guide to Physical Examination and History Taking. (2013). </w:t>
      </w:r>
      <w:r w:rsidRPr="00743CA1">
        <w:rPr>
          <w:rFonts w:ascii="Calisto MT" w:hAnsi="Calisto MT" w:cs="Times New Roman"/>
          <w:i/>
          <w:iCs/>
          <w:noProof/>
          <w:sz w:val="20"/>
          <w:szCs w:val="24"/>
        </w:rPr>
        <w:t>Annals of Internal Medicine</w:t>
      </w:r>
      <w:r w:rsidRPr="00743CA1">
        <w:rPr>
          <w:rFonts w:ascii="Calisto MT" w:hAnsi="Calisto MT" w:cs="Times New Roman"/>
          <w:noProof/>
          <w:sz w:val="20"/>
          <w:szCs w:val="24"/>
        </w:rPr>
        <w:t>. https://doi.org/10.7326/0003-4819-114-9-815_2</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Bailey, R. (2014). Teaching Physical Education. In </w:t>
      </w:r>
      <w:r w:rsidRPr="00743CA1">
        <w:rPr>
          <w:rFonts w:ascii="Calisto MT" w:hAnsi="Calisto MT" w:cs="Times New Roman"/>
          <w:i/>
          <w:iCs/>
          <w:noProof/>
          <w:sz w:val="20"/>
          <w:szCs w:val="24"/>
        </w:rPr>
        <w:t>Teaching Physical Education</w:t>
      </w:r>
      <w:r w:rsidRPr="00743CA1">
        <w:rPr>
          <w:rFonts w:ascii="Calisto MT" w:hAnsi="Calisto MT" w:cs="Times New Roman"/>
          <w:noProof/>
          <w:sz w:val="20"/>
          <w:szCs w:val="24"/>
        </w:rPr>
        <w:t>. https://doi.org/10.4324/9781315042466</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Department for Education. (2013). Physical education programmes of study: key stages 3 and 4 National curriculum in England Purpose of study. </w:t>
      </w:r>
      <w:r w:rsidRPr="00743CA1">
        <w:rPr>
          <w:rFonts w:ascii="Calisto MT" w:hAnsi="Calisto MT" w:cs="Times New Roman"/>
          <w:i/>
          <w:iCs/>
          <w:noProof/>
          <w:sz w:val="20"/>
          <w:szCs w:val="24"/>
        </w:rPr>
        <w:t>London: DfE</w:t>
      </w:r>
      <w:r w:rsidRPr="00743CA1">
        <w:rPr>
          <w:rFonts w:ascii="Calisto MT" w:hAnsi="Calisto MT" w:cs="Times New Roman"/>
          <w:noProof/>
          <w:sz w:val="20"/>
          <w:szCs w:val="24"/>
        </w:rPr>
        <w:t>. https://doi.org/FE-00190-2013</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Department for Education. (2014). Science programmes of study : key stage 4 National curriculum in England. </w:t>
      </w:r>
      <w:r w:rsidRPr="00743CA1">
        <w:rPr>
          <w:rFonts w:ascii="Calisto MT" w:hAnsi="Calisto MT" w:cs="Times New Roman"/>
          <w:i/>
          <w:iCs/>
          <w:noProof/>
          <w:sz w:val="20"/>
          <w:szCs w:val="24"/>
        </w:rPr>
        <w:t>National Curriculum</w:t>
      </w:r>
      <w:r w:rsidRPr="00743CA1">
        <w:rPr>
          <w:rFonts w:ascii="Calisto MT" w:hAnsi="Calisto MT" w:cs="Times New Roman"/>
          <w:noProof/>
          <w:sz w:val="20"/>
          <w:szCs w:val="24"/>
        </w:rPr>
        <w:t>.</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Fallis,  a. . (2013). Psycology. In </w:t>
      </w:r>
      <w:r w:rsidRPr="00743CA1">
        <w:rPr>
          <w:rFonts w:ascii="Calisto MT" w:hAnsi="Calisto MT" w:cs="Times New Roman"/>
          <w:i/>
          <w:iCs/>
          <w:noProof/>
          <w:sz w:val="20"/>
          <w:szCs w:val="24"/>
        </w:rPr>
        <w:t>Journal of Chemical Information and Modeling</w:t>
      </w:r>
      <w:r w:rsidRPr="00743CA1">
        <w:rPr>
          <w:rFonts w:ascii="Calisto MT" w:hAnsi="Calisto MT" w:cs="Times New Roman"/>
          <w:noProof/>
          <w:sz w:val="20"/>
          <w:szCs w:val="24"/>
        </w:rPr>
        <w:t xml:space="preserve">. </w:t>
      </w:r>
      <w:r w:rsidRPr="00743CA1">
        <w:rPr>
          <w:rFonts w:ascii="Calisto MT" w:hAnsi="Calisto MT" w:cs="Times New Roman"/>
          <w:noProof/>
          <w:sz w:val="20"/>
          <w:szCs w:val="24"/>
        </w:rPr>
        <w:lastRenderedPageBreak/>
        <w:t>https://doi.org/10.1017/CBO9781107415324.004</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Hojny, M. (2018). Aim of the study. In </w:t>
      </w:r>
      <w:r w:rsidRPr="00743CA1">
        <w:rPr>
          <w:rFonts w:ascii="Calisto MT" w:hAnsi="Calisto MT" w:cs="Times New Roman"/>
          <w:i/>
          <w:iCs/>
          <w:noProof/>
          <w:sz w:val="20"/>
          <w:szCs w:val="24"/>
        </w:rPr>
        <w:t>Advanced Structured Materials</w:t>
      </w:r>
      <w:r w:rsidRPr="00743CA1">
        <w:rPr>
          <w:rFonts w:ascii="Calisto MT" w:hAnsi="Calisto MT" w:cs="Times New Roman"/>
          <w:noProof/>
          <w:sz w:val="20"/>
          <w:szCs w:val="24"/>
        </w:rPr>
        <w:t>. https://doi.org/10.1007/978-3-319-67976-1_3</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Ingleby, E. (2012). Research methods in education. </w:t>
      </w:r>
      <w:r w:rsidRPr="00743CA1">
        <w:rPr>
          <w:rFonts w:ascii="Calisto MT" w:hAnsi="Calisto MT" w:cs="Times New Roman"/>
          <w:i/>
          <w:iCs/>
          <w:noProof/>
          <w:sz w:val="20"/>
          <w:szCs w:val="24"/>
        </w:rPr>
        <w:t>Professional Development in Education</w:t>
      </w:r>
      <w:r w:rsidRPr="00743CA1">
        <w:rPr>
          <w:rFonts w:ascii="Calisto MT" w:hAnsi="Calisto MT" w:cs="Times New Roman"/>
          <w:noProof/>
          <w:sz w:val="20"/>
          <w:szCs w:val="24"/>
        </w:rPr>
        <w:t>. https://doi.org/10.1080/19415257.2011.643130</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Ivanenko, Y. P., Dominici, N., Daprati, E., Nico, D., Cappellini, G., &amp; Lacquaniti, F. (2011). Locomotor body scheme. </w:t>
      </w:r>
      <w:r w:rsidRPr="00743CA1">
        <w:rPr>
          <w:rFonts w:ascii="Calisto MT" w:hAnsi="Calisto MT" w:cs="Times New Roman"/>
          <w:i/>
          <w:iCs/>
          <w:noProof/>
          <w:sz w:val="20"/>
          <w:szCs w:val="24"/>
        </w:rPr>
        <w:t>Human Movement Science</w:t>
      </w:r>
      <w:r w:rsidRPr="00743CA1">
        <w:rPr>
          <w:rFonts w:ascii="Calisto MT" w:hAnsi="Calisto MT" w:cs="Times New Roman"/>
          <w:noProof/>
          <w:sz w:val="20"/>
          <w:szCs w:val="24"/>
        </w:rPr>
        <w:t>. https://doi.org/10.1016/j.humov.2010.04.001</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Kawai, R., Markman, T., Poddar, R., Ko, R., Fantana, A. L., Dhawale, A. K., … Ölveczky, B. P. (2015). Motor Cortex Is Required for Learning but Not for Executing a Motor Skill. </w:t>
      </w:r>
      <w:r w:rsidRPr="00743CA1">
        <w:rPr>
          <w:rFonts w:ascii="Calisto MT" w:hAnsi="Calisto MT" w:cs="Times New Roman"/>
          <w:i/>
          <w:iCs/>
          <w:noProof/>
          <w:sz w:val="20"/>
          <w:szCs w:val="24"/>
        </w:rPr>
        <w:t>Neuron</w:t>
      </w:r>
      <w:r w:rsidRPr="00743CA1">
        <w:rPr>
          <w:rFonts w:ascii="Calisto MT" w:hAnsi="Calisto MT" w:cs="Times New Roman"/>
          <w:noProof/>
          <w:sz w:val="20"/>
          <w:szCs w:val="24"/>
        </w:rPr>
        <w:t>. https://doi.org/10.1016/j.neuron.2015.03.024</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Kesim, M., &amp; Ozarslan, Y. (2012). Augmented Reality in Education: Current Technologies and the Potential for Education. </w:t>
      </w:r>
      <w:r w:rsidRPr="00743CA1">
        <w:rPr>
          <w:rFonts w:ascii="Calisto MT" w:hAnsi="Calisto MT" w:cs="Times New Roman"/>
          <w:i/>
          <w:iCs/>
          <w:noProof/>
          <w:sz w:val="20"/>
          <w:szCs w:val="24"/>
        </w:rPr>
        <w:t>Procedia - Social and Behavioral Sciences</w:t>
      </w:r>
      <w:r w:rsidRPr="00743CA1">
        <w:rPr>
          <w:rFonts w:ascii="Calisto MT" w:hAnsi="Calisto MT" w:cs="Times New Roman"/>
          <w:noProof/>
          <w:sz w:val="20"/>
          <w:szCs w:val="24"/>
        </w:rPr>
        <w:t>. https://doi.org/10.1016/j.sbspro.2012.06.654</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Madej, K. (2016a). Child development. In </w:t>
      </w:r>
      <w:r w:rsidRPr="00743CA1">
        <w:rPr>
          <w:rFonts w:ascii="Calisto MT" w:hAnsi="Calisto MT" w:cs="Times New Roman"/>
          <w:i/>
          <w:iCs/>
          <w:noProof/>
          <w:sz w:val="20"/>
          <w:szCs w:val="24"/>
        </w:rPr>
        <w:t>SpringerBriefs in Computer Science</w:t>
      </w:r>
      <w:r w:rsidRPr="00743CA1">
        <w:rPr>
          <w:rFonts w:ascii="Calisto MT" w:hAnsi="Calisto MT" w:cs="Times New Roman"/>
          <w:noProof/>
          <w:sz w:val="20"/>
          <w:szCs w:val="24"/>
        </w:rPr>
        <w:t>. https://doi.org/10.1007/978-3-319-42875-8_3</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Madej, K. (2016b). Play. In </w:t>
      </w:r>
      <w:r w:rsidRPr="00743CA1">
        <w:rPr>
          <w:rFonts w:ascii="Calisto MT" w:hAnsi="Calisto MT" w:cs="Times New Roman"/>
          <w:i/>
          <w:iCs/>
          <w:noProof/>
          <w:sz w:val="20"/>
          <w:szCs w:val="24"/>
        </w:rPr>
        <w:t>SpringerBriefs in Computer Science</w:t>
      </w:r>
      <w:r w:rsidRPr="00743CA1">
        <w:rPr>
          <w:rFonts w:ascii="Calisto MT" w:hAnsi="Calisto MT" w:cs="Times New Roman"/>
          <w:noProof/>
          <w:sz w:val="20"/>
          <w:szCs w:val="24"/>
        </w:rPr>
        <w:t>. https://doi.org/10.1007/978-3-319-42875-8_2</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Nuri, L., Shadmehr, A., Ghotbi, N., &amp; Attarbashi Moghadam, B. (2013). Reaction time and anticipatory skill of athletes in open and closed skill-dominated sport. </w:t>
      </w:r>
      <w:r w:rsidRPr="00743CA1">
        <w:rPr>
          <w:rFonts w:ascii="Calisto MT" w:hAnsi="Calisto MT" w:cs="Times New Roman"/>
          <w:i/>
          <w:iCs/>
          <w:noProof/>
          <w:sz w:val="20"/>
          <w:szCs w:val="24"/>
        </w:rPr>
        <w:t>European Journal of Sport Science</w:t>
      </w:r>
      <w:r w:rsidRPr="00743CA1">
        <w:rPr>
          <w:rFonts w:ascii="Calisto MT" w:hAnsi="Calisto MT" w:cs="Times New Roman"/>
          <w:noProof/>
          <w:sz w:val="20"/>
          <w:szCs w:val="24"/>
        </w:rPr>
        <w:t>. https://doi.org/10.1080/17461391.2012.738712</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Pitt, D. C. (2013). Education. In </w:t>
      </w:r>
      <w:r w:rsidRPr="00743CA1">
        <w:rPr>
          <w:rFonts w:ascii="Calisto MT" w:hAnsi="Calisto MT" w:cs="Times New Roman"/>
          <w:i/>
          <w:iCs/>
          <w:noProof/>
          <w:sz w:val="20"/>
          <w:szCs w:val="24"/>
        </w:rPr>
        <w:t>The Future of the Environment: The Social Dimensions of Conservation and Ecological Alternatives</w:t>
      </w:r>
      <w:r w:rsidRPr="00743CA1">
        <w:rPr>
          <w:rFonts w:ascii="Calisto MT" w:hAnsi="Calisto MT" w:cs="Times New Roman"/>
          <w:noProof/>
          <w:sz w:val="20"/>
          <w:szCs w:val="24"/>
        </w:rPr>
        <w:t>. https://doi.org/10.4324/9781315862897</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Resource, H., &amp; Group, D. (2012). Council of Scientific and Industrial Research Human Resource Development Group. </w:t>
      </w:r>
      <w:r w:rsidRPr="00743CA1">
        <w:rPr>
          <w:rFonts w:ascii="Calisto MT" w:hAnsi="Calisto MT" w:cs="Times New Roman"/>
          <w:i/>
          <w:iCs/>
          <w:noProof/>
          <w:sz w:val="20"/>
          <w:szCs w:val="24"/>
        </w:rPr>
        <w:t>R &amp; D Management</w:t>
      </w:r>
      <w:r w:rsidRPr="00743CA1">
        <w:rPr>
          <w:rFonts w:ascii="Calisto MT" w:hAnsi="Calisto MT" w:cs="Times New Roman"/>
          <w:noProof/>
          <w:sz w:val="20"/>
          <w:szCs w:val="24"/>
        </w:rPr>
        <w:t>.</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cs="Times New Roman"/>
          <w:noProof/>
          <w:sz w:val="20"/>
          <w:szCs w:val="24"/>
        </w:rPr>
      </w:pPr>
      <w:r w:rsidRPr="00743CA1">
        <w:rPr>
          <w:rFonts w:ascii="Calisto MT" w:hAnsi="Calisto MT" w:cs="Times New Roman"/>
          <w:noProof/>
          <w:sz w:val="20"/>
          <w:szCs w:val="24"/>
        </w:rPr>
        <w:t xml:space="preserve">Saleem, A. B., Ayaz, A. I., Jeffery, K. J., Harris, K. D., &amp; Carandini, M. (2013). Integration of visual motion and locomotion in mouse visual cortex. </w:t>
      </w:r>
      <w:r w:rsidRPr="00743CA1">
        <w:rPr>
          <w:rFonts w:ascii="Calisto MT" w:hAnsi="Calisto MT" w:cs="Times New Roman"/>
          <w:i/>
          <w:iCs/>
          <w:noProof/>
          <w:sz w:val="20"/>
          <w:szCs w:val="24"/>
        </w:rPr>
        <w:t>Nature Neuroscience</w:t>
      </w:r>
      <w:r w:rsidRPr="00743CA1">
        <w:rPr>
          <w:rFonts w:ascii="Calisto MT" w:hAnsi="Calisto MT" w:cs="Times New Roman"/>
          <w:noProof/>
          <w:sz w:val="20"/>
          <w:szCs w:val="24"/>
        </w:rPr>
        <w:t>. https://doi.org/10.1038/nn.3567</w:t>
      </w:r>
    </w:p>
    <w:p w:rsidR="00743CA1" w:rsidRPr="00743CA1" w:rsidRDefault="00743CA1" w:rsidP="00743CA1">
      <w:pPr>
        <w:widowControl w:val="0"/>
        <w:autoSpaceDE w:val="0"/>
        <w:autoSpaceDN w:val="0"/>
        <w:adjustRightInd w:val="0"/>
        <w:spacing w:before="120" w:beforeAutospacing="0" w:after="0" w:afterAutospacing="0"/>
        <w:ind w:left="482" w:hanging="482"/>
        <w:jc w:val="both"/>
        <w:rPr>
          <w:rFonts w:ascii="Calisto MT" w:hAnsi="Calisto MT"/>
          <w:noProof/>
          <w:sz w:val="20"/>
        </w:rPr>
      </w:pPr>
      <w:r w:rsidRPr="00743CA1">
        <w:rPr>
          <w:rFonts w:ascii="Calisto MT" w:hAnsi="Calisto MT" w:cs="Times New Roman"/>
          <w:noProof/>
          <w:sz w:val="20"/>
          <w:szCs w:val="24"/>
        </w:rPr>
        <w:t xml:space="preserve">Sugden, D., &amp; Wright, H. (2017). Physical education. In </w:t>
      </w:r>
      <w:r w:rsidRPr="00743CA1">
        <w:rPr>
          <w:rFonts w:ascii="Calisto MT" w:hAnsi="Calisto MT" w:cs="Times New Roman"/>
          <w:i/>
          <w:iCs/>
          <w:noProof/>
          <w:sz w:val="20"/>
          <w:szCs w:val="24"/>
        </w:rPr>
        <w:t>Enabling Access: Effective Teaching and Learning for Pupils with Learning Difficulties: Classic Edition</w:t>
      </w:r>
      <w:r w:rsidRPr="00743CA1">
        <w:rPr>
          <w:rFonts w:ascii="Calisto MT" w:hAnsi="Calisto MT" w:cs="Times New Roman"/>
          <w:noProof/>
          <w:sz w:val="20"/>
          <w:szCs w:val="24"/>
        </w:rPr>
        <w:t>. https://doi.org/10.4324/9781315099484</w:t>
      </w:r>
    </w:p>
    <w:p w:rsidR="007A2E34" w:rsidRDefault="00743CA1" w:rsidP="001F6FF5">
      <w:pPr>
        <w:spacing w:before="120" w:beforeAutospacing="0" w:after="0" w:afterAutospacing="0"/>
        <w:ind w:left="567" w:right="0" w:hanging="567"/>
        <w:jc w:val="both"/>
        <w:rPr>
          <w:rFonts w:ascii="Calisto MT" w:eastAsia="Times New Roman" w:hAnsi="Calisto MT" w:cs="Arial"/>
          <w:sz w:val="20"/>
          <w:szCs w:val="20"/>
          <w:lang w:eastAsia="en-GB"/>
        </w:rPr>
      </w:pPr>
      <w:r>
        <w:rPr>
          <w:rFonts w:ascii="Calisto MT" w:eastAsia="Times New Roman" w:hAnsi="Calisto MT" w:cs="Arial"/>
          <w:sz w:val="20"/>
          <w:szCs w:val="20"/>
          <w:lang w:eastAsia="en-GB"/>
        </w:rPr>
        <w:fldChar w:fldCharType="end"/>
      </w:r>
    </w:p>
    <w:p w:rsidR="007A2E34" w:rsidRDefault="007A2E34" w:rsidP="00980522">
      <w:pPr>
        <w:spacing w:before="120" w:beforeAutospacing="0" w:after="0" w:afterAutospacing="0"/>
        <w:ind w:left="567" w:right="0" w:hanging="567"/>
        <w:jc w:val="both"/>
        <w:rPr>
          <w:rFonts w:ascii="Calisto MT" w:eastAsia="Times New Roman" w:hAnsi="Calisto MT" w:cs="Arial"/>
          <w:sz w:val="20"/>
          <w:szCs w:val="20"/>
          <w:lang w:eastAsia="en-GB"/>
        </w:rPr>
      </w:pPr>
    </w:p>
    <w:p w:rsidR="00980522" w:rsidRPr="0006528A" w:rsidRDefault="00980522" w:rsidP="00980522">
      <w:pPr>
        <w:spacing w:before="120" w:beforeAutospacing="0" w:after="0" w:afterAutospacing="0"/>
        <w:ind w:left="567" w:right="0" w:hanging="567"/>
        <w:jc w:val="both"/>
        <w:rPr>
          <w:rFonts w:ascii="Calisto MT" w:eastAsia="Times New Roman" w:hAnsi="Calisto MT" w:cs="Arial"/>
          <w:sz w:val="20"/>
          <w:szCs w:val="20"/>
          <w:lang w:eastAsia="en-GB"/>
        </w:rPr>
      </w:pPr>
    </w:p>
    <w:p w:rsidR="00980522" w:rsidRPr="00906AA5" w:rsidRDefault="00980522" w:rsidP="00980522">
      <w:pPr>
        <w:spacing w:before="120" w:beforeAutospacing="0" w:after="0" w:afterAutospacing="0"/>
        <w:ind w:left="567" w:right="0" w:hanging="567"/>
        <w:jc w:val="both"/>
      </w:pPr>
    </w:p>
    <w:p w:rsidR="00980522" w:rsidRDefault="00980522" w:rsidP="00980522"/>
    <w:p w:rsidR="00980522" w:rsidRDefault="00980522">
      <w:pPr>
        <w:sectPr w:rsidR="00980522" w:rsidSect="00980522">
          <w:type w:val="continuous"/>
          <w:pgSz w:w="11907" w:h="16839" w:code="9"/>
          <w:pgMar w:top="1701" w:right="1701" w:bottom="1701" w:left="1701" w:header="720" w:footer="720" w:gutter="0"/>
          <w:cols w:space="387"/>
          <w:docGrid w:linePitch="360"/>
        </w:sectPr>
      </w:pPr>
    </w:p>
    <w:p w:rsidR="00DC0D42" w:rsidRDefault="00DC0D42"/>
    <w:sectPr w:rsidR="00DC0D42" w:rsidSect="004D74D2">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DED" w:rsidRDefault="00966DED">
      <w:pPr>
        <w:spacing w:before="0" w:after="0"/>
      </w:pPr>
      <w:r>
        <w:separator/>
      </w:r>
    </w:p>
  </w:endnote>
  <w:endnote w:type="continuationSeparator" w:id="0">
    <w:p w:rsidR="00966DED" w:rsidRDefault="00966D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852420" w:rsidRDefault="00980522">
    <w:pPr>
      <w:pStyle w:val="Footer"/>
      <w:rPr>
        <w:rFonts w:ascii="Calisto MT" w:hAnsi="Calisto MT"/>
      </w:rPr>
    </w:pPr>
    <w:r>
      <w:rPr>
        <w:rFonts w:ascii="Calisto MT" w:hAnsi="Calisto MT"/>
        <w:noProof/>
        <w:sz w:val="20"/>
        <w:lang w:val="id-ID" w:eastAsia="id-ID"/>
      </w:rPr>
      <w:drawing>
        <wp:anchor distT="0" distB="0" distL="114300" distR="114300" simplePos="0" relativeHeight="251656704" behindDoc="0" locked="0" layoutInCell="1" allowOverlap="1" wp14:anchorId="0DCC2F29" wp14:editId="6D39FFC0">
          <wp:simplePos x="0" y="0"/>
          <wp:positionH relativeFrom="column">
            <wp:posOffset>3558540</wp:posOffset>
          </wp:positionH>
          <wp:positionV relativeFrom="paragraph">
            <wp:posOffset>447675</wp:posOffset>
          </wp:positionV>
          <wp:extent cx="1763395" cy="238125"/>
          <wp:effectExtent l="0" t="0" r="8255" b="9525"/>
          <wp:wrapNone/>
          <wp:docPr id="5" name="Picture 5"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sto MT" w:hAnsi="Calisto MT"/>
        </w:rPr>
        <w:id w:val="-59170960"/>
        <w:docPartObj>
          <w:docPartGallery w:val="Page Numbers (Bottom of Page)"/>
          <w:docPartUnique/>
        </w:docPartObj>
      </w:sdtPr>
      <w:sdtEndPr>
        <w:rPr>
          <w:noProof/>
        </w:rPr>
      </w:sdtEndPr>
      <w:sdtContent>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743CA1">
          <w:rPr>
            <w:rFonts w:ascii="Calisto MT" w:hAnsi="Calisto MT"/>
            <w:noProof/>
          </w:rPr>
          <w:t>7</w:t>
        </w:r>
        <w:r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6993"/>
      <w:docPartObj>
        <w:docPartGallery w:val="Page Numbers (Bottom of Page)"/>
        <w:docPartUnique/>
      </w:docPartObj>
    </w:sdtPr>
    <w:sdtEndPr>
      <w:rPr>
        <w:noProof/>
        <w:sz w:val="20"/>
      </w:rPr>
    </w:sdtEndPr>
    <w:sdtContent>
      <w:p w:rsidR="004D74D2" w:rsidRPr="00264831" w:rsidRDefault="00980522" w:rsidP="004D74D2">
        <w:pPr>
          <w:pStyle w:val="Footer"/>
          <w:spacing w:before="100" w:after="100"/>
          <w:rPr>
            <w:sz w:val="20"/>
          </w:rPr>
        </w:pPr>
        <w:r>
          <w:rPr>
            <w:rFonts w:ascii="Calisto MT" w:hAnsi="Calisto MT"/>
            <w:noProof/>
            <w:sz w:val="20"/>
            <w:lang w:val="id-ID" w:eastAsia="id-ID"/>
          </w:rPr>
          <w:drawing>
            <wp:anchor distT="0" distB="0" distL="114300" distR="114300" simplePos="0" relativeHeight="251655680" behindDoc="0" locked="0" layoutInCell="1" allowOverlap="1" wp14:anchorId="65154A01" wp14:editId="7CC4FFDF">
              <wp:simplePos x="0" y="0"/>
              <wp:positionH relativeFrom="column">
                <wp:posOffset>3558540</wp:posOffset>
              </wp:positionH>
              <wp:positionV relativeFrom="paragraph">
                <wp:posOffset>433070</wp:posOffset>
              </wp:positionV>
              <wp:extent cx="1763395" cy="238125"/>
              <wp:effectExtent l="0" t="0" r="8255" b="9525"/>
              <wp:wrapNone/>
              <wp:docPr id="4" name="Picture 4"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743CA1">
          <w:rPr>
            <w:rFonts w:ascii="Calisto MT" w:hAnsi="Calisto MT"/>
            <w:noProof/>
            <w:sz w:val="20"/>
          </w:rPr>
          <w:t>1</w:t>
        </w:r>
        <w:r w:rsidRPr="00264831">
          <w:rPr>
            <w:rFonts w:ascii="Calisto MT" w:hAnsi="Calisto MT"/>
            <w:noProof/>
            <w:sz w:val="20"/>
          </w:rPr>
          <w:fldChar w:fldCharType="end"/>
        </w:r>
        <w:r w:rsidRPr="00BC33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DED" w:rsidRDefault="00966DED">
      <w:pPr>
        <w:spacing w:before="0" w:after="0"/>
      </w:pPr>
      <w:r>
        <w:separator/>
      </w:r>
    </w:p>
  </w:footnote>
  <w:footnote w:type="continuationSeparator" w:id="0">
    <w:p w:rsidR="00966DED" w:rsidRDefault="00966DE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966DED" w:rsidP="004D74D2">
    <w:pPr>
      <w:pStyle w:val="Header"/>
      <w:tabs>
        <w:tab w:val="left" w:pos="5051"/>
      </w:tabs>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4" o:spid="_x0000_s2050" type="#_x0000_t75" style="position:absolute;left:0;text-align:left;margin-left:0;margin-top:0;width:243pt;height:242.25pt;z-index:-251658752;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tab/>
    </w:r>
    <w:r w:rsidR="00980522">
      <w:rPr>
        <w:rFonts w:ascii="Calisto MT" w:hAnsi="Calisto MT" w:cs="Calisto MT"/>
        <w:sz w:val="18"/>
        <w:szCs w:val="18"/>
      </w:rPr>
      <w:t xml:space="preserve">Ira </w:t>
    </w:r>
    <w:proofErr w:type="spellStart"/>
    <w:r w:rsidR="00980522">
      <w:rPr>
        <w:rFonts w:ascii="Calisto MT" w:hAnsi="Calisto MT" w:cs="Calisto MT"/>
        <w:sz w:val="18"/>
        <w:szCs w:val="18"/>
      </w:rPr>
      <w:t>Indrawardana</w:t>
    </w:r>
    <w:proofErr w:type="spellEnd"/>
    <w:r w:rsidR="00980522">
      <w:rPr>
        <w:rFonts w:ascii="Calisto MT" w:hAnsi="Calisto MT" w:cs="Calisto MT"/>
        <w:sz w:val="18"/>
        <w:szCs w:val="18"/>
      </w:rPr>
      <w:t xml:space="preserve">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BC084A" w:rsidRDefault="00966DED" w:rsidP="004D74D2">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5" o:spid="_x0000_s2051" type="#_x0000_t75" style="position:absolute;left:0;text-align:left;margin-left:0;margin-top:0;width:243pt;height:242.25pt;z-index:-251657728;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rsidRPr="00142758">
      <w:rPr>
        <w:rFonts w:ascii="Calisto MT" w:hAnsi="Calisto MT" w:cs="Calisto MT"/>
        <w:b/>
        <w:bCs/>
        <w:color w:val="000000"/>
        <w:lang w:val="id-ID"/>
      </w:rPr>
      <w:t xml:space="preserve"> </w:t>
    </w:r>
    <w:proofErr w:type="spellStart"/>
    <w:r w:rsidR="00B05444" w:rsidRPr="00B05444">
      <w:rPr>
        <w:rFonts w:ascii="Calisto MT" w:hAnsi="Calisto MT" w:cs="Arial"/>
        <w:sz w:val="18"/>
      </w:rPr>
      <w:t>Aimanun</w:t>
    </w:r>
    <w:proofErr w:type="spellEnd"/>
    <w:r w:rsidR="00B05444" w:rsidRPr="00B05444">
      <w:rPr>
        <w:rFonts w:ascii="Calisto MT" w:hAnsi="Calisto MT" w:cs="Arial"/>
        <w:sz w:val="18"/>
      </w:rPr>
      <w:t xml:space="preserve"> Nisa’</w:t>
    </w:r>
    <w:r w:rsidR="004F6434">
      <w:rPr>
        <w:rFonts w:ascii="Calisto MT" w:hAnsi="Calisto MT" w:cs="Calisto MT"/>
        <w:color w:val="000000"/>
        <w:sz w:val="18"/>
        <w:szCs w:val="18"/>
      </w:rPr>
      <w:t>/ Gelanggang Pendidikan Jasmani Indonesia 3 (1) (</w:t>
    </w:r>
    <w:r w:rsidR="004F6434">
      <w:rPr>
        <w:rFonts w:ascii="Calisto MT" w:hAnsi="Calisto MT" w:cs="Calisto MT"/>
        <w:color w:val="000000"/>
        <w:sz w:val="18"/>
        <w:szCs w:val="18"/>
        <w:lang w:val="id-ID"/>
      </w:rPr>
      <w:t>2019</w:t>
    </w:r>
    <w:r w:rsidR="004F6434">
      <w:rPr>
        <w:rFonts w:ascii="Calisto MT" w:hAnsi="Calisto MT" w:cs="Calisto MT"/>
        <w:color w:val="000000"/>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966DE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3" o:spid="_x0000_s2049" type="#_x0000_t75" style="position:absolute;left:0;text-align:left;margin-left:0;margin-top:0;width:243pt;height:242.25pt;z-index:-251656704;mso-position-horizontal:center;mso-position-horizontal-relative:margin;mso-position-vertical:center;mso-position-vertical-relative:margin" o:allowincell="f">
          <v:imagedata r:id="rId1" o:title="file14AA87D78DCCEAF65575095EF2067EB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B118D5"/>
    <w:multiLevelType w:val="hybridMultilevel"/>
    <w:tmpl w:val="BF106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2"/>
    <w:rsid w:val="00004CA2"/>
    <w:rsid w:val="0003260D"/>
    <w:rsid w:val="001C447C"/>
    <w:rsid w:val="001F6FF5"/>
    <w:rsid w:val="002D2F90"/>
    <w:rsid w:val="004D3450"/>
    <w:rsid w:val="004D57A1"/>
    <w:rsid w:val="004F6434"/>
    <w:rsid w:val="006045A2"/>
    <w:rsid w:val="006239D2"/>
    <w:rsid w:val="006B5D5F"/>
    <w:rsid w:val="006E2560"/>
    <w:rsid w:val="006E3EC7"/>
    <w:rsid w:val="00743CA1"/>
    <w:rsid w:val="007A2E34"/>
    <w:rsid w:val="007F43B8"/>
    <w:rsid w:val="008070B2"/>
    <w:rsid w:val="00923F0A"/>
    <w:rsid w:val="00966DED"/>
    <w:rsid w:val="00980522"/>
    <w:rsid w:val="00A80ED8"/>
    <w:rsid w:val="00B05444"/>
    <w:rsid w:val="00B153FA"/>
    <w:rsid w:val="00CF32A6"/>
    <w:rsid w:val="00D51D82"/>
    <w:rsid w:val="00D622BE"/>
    <w:rsid w:val="00DC0D42"/>
    <w:rsid w:val="00E4243E"/>
    <w:rsid w:val="00E6482F"/>
    <w:rsid w:val="00EA6073"/>
    <w:rsid w:val="00F9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95F8BDB-1472-4384-9A35-D57BEB80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522"/>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980522"/>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980522"/>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980522"/>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980522"/>
    <w:rPr>
      <w:rFonts w:ascii="Calisto MT" w:hAnsi="Calisto MT" w:cs="Calisto MT"/>
      <w:color w:val="000000"/>
      <w:sz w:val="20"/>
      <w:szCs w:val="20"/>
      <w:lang w:val="id-ID"/>
    </w:rPr>
  </w:style>
  <w:style w:type="paragraph" w:customStyle="1" w:styleId="BasicParagraph">
    <w:name w:val="[Basic Paragraph]"/>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980522"/>
    <w:pPr>
      <w:tabs>
        <w:tab w:val="center" w:pos="4680"/>
        <w:tab w:val="right" w:pos="9360"/>
      </w:tabs>
      <w:spacing w:before="0" w:after="0"/>
    </w:pPr>
  </w:style>
  <w:style w:type="character" w:customStyle="1" w:styleId="HeaderChar">
    <w:name w:val="Header Char"/>
    <w:basedOn w:val="DefaultParagraphFont"/>
    <w:link w:val="Header"/>
    <w:uiPriority w:val="99"/>
    <w:rsid w:val="00980522"/>
  </w:style>
  <w:style w:type="paragraph" w:styleId="Footer">
    <w:name w:val="footer"/>
    <w:basedOn w:val="Normal"/>
    <w:link w:val="FooterChar"/>
    <w:uiPriority w:val="99"/>
    <w:unhideWhenUsed/>
    <w:rsid w:val="00980522"/>
    <w:pPr>
      <w:tabs>
        <w:tab w:val="center" w:pos="4680"/>
        <w:tab w:val="right" w:pos="9360"/>
      </w:tabs>
      <w:spacing w:before="0" w:after="0"/>
    </w:pPr>
  </w:style>
  <w:style w:type="character" w:customStyle="1" w:styleId="FooterChar">
    <w:name w:val="Footer Char"/>
    <w:basedOn w:val="DefaultParagraphFont"/>
    <w:link w:val="Footer"/>
    <w:uiPriority w:val="99"/>
    <w:rsid w:val="00980522"/>
  </w:style>
  <w:style w:type="character" w:styleId="Hyperlink">
    <w:name w:val="Hyperlink"/>
    <w:uiPriority w:val="99"/>
    <w:unhideWhenUsed/>
    <w:rsid w:val="00004CA2"/>
    <w:rPr>
      <w:color w:val="0000FF"/>
      <w:u w:val="single"/>
    </w:rPr>
  </w:style>
  <w:style w:type="paragraph" w:styleId="ListParagraph">
    <w:name w:val="List Paragraph"/>
    <w:aliases w:val="Body of text"/>
    <w:basedOn w:val="Normal"/>
    <w:link w:val="ListParagraphChar"/>
    <w:uiPriority w:val="34"/>
    <w:qFormat/>
    <w:rsid w:val="008070B2"/>
    <w:pPr>
      <w:spacing w:before="0" w:beforeAutospacing="0" w:after="200" w:afterAutospacing="0" w:line="276" w:lineRule="auto"/>
      <w:ind w:left="720" w:right="0"/>
      <w:contextualSpacing/>
      <w:jc w:val="left"/>
    </w:pPr>
    <w:rPr>
      <w:rFonts w:ascii="Calibri" w:eastAsia="Calibri" w:hAnsi="Calibri" w:cs="Times New Roman"/>
      <w:lang w:val="id-ID"/>
    </w:rPr>
  </w:style>
  <w:style w:type="character" w:customStyle="1" w:styleId="ListParagraphChar">
    <w:name w:val="List Paragraph Char"/>
    <w:aliases w:val="Body of text Char"/>
    <w:basedOn w:val="DefaultParagraphFont"/>
    <w:link w:val="ListParagraph"/>
    <w:uiPriority w:val="34"/>
    <w:locked/>
    <w:rsid w:val="008070B2"/>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manunnisa@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1B0ED-9E84-44B2-B7E4-31EDA9F2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10213</Words>
  <Characters>58218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Sandy Yudasmara</dc:creator>
  <cp:keywords/>
  <dc:description/>
  <cp:lastModifiedBy>ABI PC</cp:lastModifiedBy>
  <cp:revision>21</cp:revision>
  <dcterms:created xsi:type="dcterms:W3CDTF">2019-07-16T02:55:00Z</dcterms:created>
  <dcterms:modified xsi:type="dcterms:W3CDTF">2019-07-23T04:28:00Z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28f05e27-ff69-31c1-a92b-8c19d44bed87</vt:lpwstr>
  </property>
  <property fmtid="{D5CDD505-2E9C-101B-9397-08002B2CF9AE}" pid="24" name="Mendeley Citation Style_1">
    <vt:lpwstr>http://www.zotero.org/styles/apa</vt:lpwstr>
  </property>
</Properties>
</file>